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Consolas" w:cs="Consolas" w:eastAsia="Consolas" w:hAnsi="Consolas"/>
          <w:b/>
          <w:bCs/>
          <w:color w:val="2F6B45"/>
          <w:sz w:val="16"/>
          <w:szCs w:val="16"/>
        </w:rPr>
        <w:t xml:space="preserve">ตารางแปลไทย · แจกฟรี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ตาราง pH × aw — ตัดสินว่าสินค้าเป็น TCS Food หรือไม่</w:t>
      </w:r>
    </w:p>
    <w:p>
      <w:pPr>
        <w:spacing w:after="20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แปลจากนิยาม “Time/Temperature Control for Safety Food” บทที่ 1 ของ U.S. FDA Food Code ฉบับปี 2022 · ใช้คู่กับบทความ </w:t>
      </w:r>
      <w:r>
        <w:rPr>
          <w:rFonts w:ascii="Consolas" w:cs="Consolas" w:eastAsia="Consolas" w:hAnsi="Consolas"/>
          <w:color w:val="2F6B45"/>
          <w:sz w:val="17"/>
          <w:szCs w:val="17"/>
        </w:rPr>
        <w:t xml:space="preserve">spsolutioncenter.com/articles/food-code-tcs-ph-aw</w:t>
      </w:r>
    </w:p>
    <w:p>
      <w:pPr>
        <w:pStyle w:val="Heading2"/>
        <w:spacing w:after="100" w:before="260"/>
      </w:pPr>
      <w:r>
        <w:rPr>
          <w:rFonts w:ascii="Sarabun" w:cs="Sarabun" w:eastAsia="Sarabun" w:hAnsi="Sarabun"/>
          <w:b/>
          <w:bCs/>
          <w:color w:val="2F6B45"/>
          <w:sz w:val="26"/>
          <w:szCs w:val="26"/>
        </w:rPr>
        <w:t xml:space="preserve">ขั้นที่ 0 — เช็กก่อนว่าเป็น TCS โดยอัตโนมัติหรือไม่</w:t>
      </w:r>
    </w:p>
    <w:p>
      <w:pPr>
        <w:spacing w:after="120" w:before="0"/>
      </w:pPr>
      <w:r>
        <w:rPr>
          <w:rFonts w:ascii="Sarabun" w:cs="Sarabun" w:eastAsia="Sarabun" w:hAnsi="Sarabun"/>
          <w:sz w:val="20"/>
          <w:szCs w:val="20"/>
        </w:rPr>
        <w:t xml:space="preserve">นิยามระบุกลุ่มที่นับเป็น TCS ทันทีโดยไม่ต้องดูตาราง ถ้าสินค้าเข้ากลุ่มนี้ ไม่ต้องเปิดตาราง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อาหารจากสัตว์</w:t>
      </w:r>
      <w:r>
        <w:rPr>
          <w:rFonts w:ascii="Sarabun" w:cs="Sarabun" w:eastAsia="Sarabun" w:hAnsi="Sarabun"/>
          <w:sz w:val="20"/>
          <w:szCs w:val="20"/>
        </w:rPr>
        <w:t xml:space="preserve"> ทั้งที่ดิบและที่ผ่านความร้อน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อาหารจากพืชที่ผ่านความร้อน</w:t>
      </w:r>
      <w:r>
        <w:rPr>
          <w:rFonts w:ascii="Sarabun" w:cs="Sarabun" w:eastAsia="Sarabun" w:hAnsi="Sarabun"/>
          <w:sz w:val="20"/>
          <w:szCs w:val="20"/>
        </w:rPr>
        <w:t xml:space="preserve"> — ข้าวสวย ผัดผัก มันบด ถั่วต้ม อยู่ในกลุ่มนี้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ถั่วงอกหรือเมล็ดงอกที่ยังดิบ</w:t>
      </w:r>
      <w:r>
        <w:rPr>
          <w:rFonts w:ascii="Sarabun" w:cs="Sarabun" w:eastAsia="Sarabun" w:hAnsi="Sarabun"/>
          <w:sz w:val="20"/>
          <w:szCs w:val="20"/>
        </w:rPr>
        <w:t xml:space="preserve"> · 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แตงหั่น ผักใบหั่น มะเขือเทศหั่น</w:t>
      </w:r>
      <w:r>
        <w:rPr>
          <w:rFonts w:ascii="Sarabun" w:cs="Sarabun" w:eastAsia="Sarabun" w:hAnsi="Sarabun"/>
          <w:sz w:val="20"/>
          <w:szCs w:val="20"/>
        </w:rPr>
        <w:t xml:space="preserve"> · 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กระเทียมในน้ำมัน</w:t>
      </w:r>
      <w:r>
        <w:rPr>
          <w:rFonts w:ascii="Sarabun" w:cs="Sarabun" w:eastAsia="Sarabun" w:hAnsi="Sarabun"/>
          <w:sz w:val="20"/>
          <w:szCs w:val="20"/>
        </w:rPr>
        <w:t xml:space="preserve"> ที่ไม่ได้ปรับสูตรให้ยับยั้งการเติบโต</w:t>
      </w:r>
    </w:p>
    <w:p>
      <w:pPr>
        <w:pStyle w:val="Heading2"/>
        <w:spacing w:after="100" w:before="260"/>
      </w:pPr>
      <w:r>
        <w:rPr>
          <w:rFonts w:ascii="Sarabun" w:cs="Sarabun" w:eastAsia="Sarabun" w:hAnsi="Sarabun"/>
          <w:b/>
          <w:bCs/>
          <w:color w:val="2F6B45"/>
          <w:sz w:val="26"/>
          <w:szCs w:val="26"/>
        </w:rPr>
        <w:t xml:space="preserve">ขั้นที่ 1 — เลือกตารางให้ถูกใบ</w:t>
      </w:r>
    </w:p>
    <w:p>
      <w:pPr>
        <w:spacing w:after="12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ตาราง A</w:t>
      </w:r>
      <w:r>
        <w:rPr>
          <w:rFonts w:ascii="Sarabun" w:cs="Sarabun" w:eastAsia="Sarabun" w:hAnsi="Sarabun"/>
          <w:sz w:val="20"/>
          <w:szCs w:val="20"/>
        </w:rPr>
        <w:t xml:space="preserve"> ใช้กับอาหารที่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ผ่านความร้อนเพื่อทำลายเซลล์แบคทีเรียแล้วบรรจุปิดสนิท</w:t>
      </w:r>
      <w:r>
        <w:rPr>
          <w:rFonts w:ascii="Sarabun" w:cs="Sarabun" w:eastAsia="Sarabun" w:hAnsi="Sarabun"/>
          <w:sz w:val="20"/>
          <w:szCs w:val="20"/>
        </w:rPr>
        <w:t xml:space="preserve"> — เกณฑ์หลวมกว่า เพราะเหลือแต่สปอร์ที่ต้องกังวล</w:t>
      </w:r>
    </w:p>
    <w:p>
      <w:pPr>
        <w:spacing w:after="1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ตาราง B</w:t>
      </w:r>
      <w:r>
        <w:rPr>
          <w:rFonts w:ascii="Sarabun" w:cs="Sarabun" w:eastAsia="Sarabun" w:hAnsi="Sarabun"/>
          <w:sz w:val="20"/>
          <w:szCs w:val="20"/>
        </w:rPr>
        <w:t xml:space="preserve"> ใช้กับอาหารที่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ไม่ผ่านความร้อน หรือผ่านความร้อนแต่ไม่ได้บรรจุ</w:t>
      </w:r>
      <w:r>
        <w:rPr>
          <w:rFonts w:ascii="Sarabun" w:cs="Sarabun" w:eastAsia="Sarabun" w:hAnsi="Sarabun"/>
          <w:sz w:val="20"/>
          <w:szCs w:val="20"/>
        </w:rPr>
        <w:t xml:space="preserve"> — เกณฑ์เข้มกว่า เพราะต้องคุมทั้งเซลล์แบคทีเรียและสปอร์</w:t>
      </w:r>
    </w:p>
    <w:p>
      <w:pPr>
        <w:spacing w:after="80" w:before="0"/>
      </w:pPr>
      <w:r>
        <w:rPr>
          <w:rFonts w:ascii="Sarabun" w:cs="Sarabun" w:eastAsia="Sarabun" w:hAnsi="Sarabun"/>
          <w:b/>
          <w:bCs/>
          <w:sz w:val="21"/>
          <w:szCs w:val="21"/>
        </w:rPr>
        <w:t xml:space="preserve">ตาราง A — ผ่านความร้อนแล้วบรรจุปิดสนิท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00"/>
      </w:tblGrid>
      <w:tr>
        <w:trPr>
          <w:tblHeader/>
        </w:trPr>
        <w:tc>
          <w:tcPr>
            <w:tcW w:type="dxa" w:w="2400"/>
            <w:shd w:fill="2F6B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ค่า aw</w:t>
            </w:r>
          </w:p>
        </w:tc>
        <w:tc>
          <w:tcPr>
            <w:tcW w:type="dxa" w:w="2400"/>
            <w:shd w:fill="2F6B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pH ≤ 4.6</w:t>
            </w:r>
          </w:p>
        </w:tc>
        <w:tc>
          <w:tcPr>
            <w:tcW w:type="dxa" w:w="2400"/>
            <w:shd w:fill="2F6B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pH &gt; 4.6 – 5.6</w:t>
            </w:r>
          </w:p>
        </w:tc>
        <w:tc>
          <w:tcPr>
            <w:tcW w:type="dxa" w:w="2400"/>
            <w:shd w:fill="2F6B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pH &gt; 5.6</w:t>
            </w:r>
          </w:p>
        </w:tc>
      </w:tr>
      <w:tr>
        <w:tc>
          <w:tcPr>
            <w:tcW w:type="dxa" w:w="2400"/>
            <w:shd w:fill="F3F7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sz w:val="19"/>
                <w:szCs w:val="19"/>
              </w:rPr>
              <w:t xml:space="preserve">&lt; 0.92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</w:tr>
      <w:tr>
        <w:tc>
          <w:tcPr>
            <w:tcW w:type="dxa" w:w="2400"/>
            <w:shd w:fill="F3F7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sz w:val="19"/>
                <w:szCs w:val="19"/>
              </w:rPr>
              <w:t xml:space="preserve">&gt; 0.92 – 0.95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2400"/>
            <w:shd w:fill="FBE9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B3261E"/>
                <w:sz w:val="19"/>
                <w:szCs w:val="19"/>
              </w:rPr>
              <w:t xml:space="preserve">PA</w:t>
            </w:r>
          </w:p>
        </w:tc>
      </w:tr>
      <w:tr>
        <w:tc>
          <w:tcPr>
            <w:tcW w:type="dxa" w:w="2400"/>
            <w:shd w:fill="F3F7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sz w:val="19"/>
                <w:szCs w:val="19"/>
              </w:rPr>
              <w:t xml:space="preserve">&gt; 0.95</w:t>
            </w:r>
          </w:p>
        </w:tc>
        <w:tc>
          <w:tcPr>
            <w:tcW w:type="dxa" w:w="24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2400"/>
            <w:shd w:fill="FBE9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B3261E"/>
                <w:sz w:val="19"/>
                <w:szCs w:val="19"/>
              </w:rPr>
              <w:t xml:space="preserve">PA</w:t>
            </w:r>
          </w:p>
        </w:tc>
        <w:tc>
          <w:tcPr>
            <w:tcW w:type="dxa" w:w="2400"/>
            <w:shd w:fill="FBE9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B3261E"/>
                <w:sz w:val="19"/>
                <w:szCs w:val="19"/>
              </w:rPr>
              <w:t xml:space="preserve">PA</w:t>
            </w:r>
          </w:p>
        </w:tc>
      </w:tr>
    </w:tbl>
    <w:p>
      <w:pPr>
        <w:spacing w:after="12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80" w:before="120"/>
      </w:pPr>
      <w:r>
        <w:rPr>
          <w:rFonts w:ascii="Sarabun" w:cs="Sarabun" w:eastAsia="Sarabun" w:hAnsi="Sarabun"/>
          <w:b/>
          <w:bCs/>
          <w:sz w:val="21"/>
          <w:szCs w:val="21"/>
        </w:rPr>
        <w:t xml:space="preserve">ตาราง B — ไม่ผ่านความร้อน หรือผ่านความร้อนแต่ไม่ได้บรรจุ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2F6B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ค่า aw</w:t>
            </w:r>
          </w:p>
        </w:tc>
        <w:tc>
          <w:tcPr>
            <w:tcW w:type="dxa" w:w="1920"/>
            <w:shd w:fill="2F6B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pH &lt; 4.2</w:t>
            </w:r>
          </w:p>
        </w:tc>
        <w:tc>
          <w:tcPr>
            <w:tcW w:type="dxa" w:w="1920"/>
            <w:shd w:fill="2F6B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pH 4.2 – 4.6</w:t>
            </w:r>
          </w:p>
        </w:tc>
        <w:tc>
          <w:tcPr>
            <w:tcW w:type="dxa" w:w="1920"/>
            <w:shd w:fill="2F6B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pH &gt; 4.6 – 5.0</w:t>
            </w:r>
          </w:p>
        </w:tc>
        <w:tc>
          <w:tcPr>
            <w:tcW w:type="dxa" w:w="1920"/>
            <w:shd w:fill="2F6B45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pH &gt; 5.0</w:t>
            </w:r>
          </w:p>
        </w:tc>
      </w:tr>
      <w:tr>
        <w:tc>
          <w:tcPr>
            <w:tcW w:type="dxa" w:w="1920"/>
            <w:shd w:fill="F3F7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sz w:val="19"/>
                <w:szCs w:val="19"/>
              </w:rPr>
              <w:t xml:space="preserve">&lt; 0.88</w:t>
            </w:r>
          </w:p>
        </w:tc>
        <w:tc>
          <w:tcPr>
            <w:tcW w:type="dxa" w:w="19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19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19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19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</w:tr>
      <w:tr>
        <w:tc>
          <w:tcPr>
            <w:tcW w:type="dxa" w:w="1920"/>
            <w:shd w:fill="F3F7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sz w:val="19"/>
                <w:szCs w:val="19"/>
              </w:rPr>
              <w:t xml:space="preserve">0.88 – 0.90</w:t>
            </w:r>
          </w:p>
        </w:tc>
        <w:tc>
          <w:tcPr>
            <w:tcW w:type="dxa" w:w="19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19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19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1920"/>
            <w:shd w:fill="FBE9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B3261E"/>
                <w:sz w:val="19"/>
                <w:szCs w:val="19"/>
              </w:rPr>
              <w:t xml:space="preserve">PA</w:t>
            </w:r>
          </w:p>
        </w:tc>
      </w:tr>
      <w:tr>
        <w:tc>
          <w:tcPr>
            <w:tcW w:type="dxa" w:w="1920"/>
            <w:shd w:fill="F3F7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sz w:val="19"/>
                <w:szCs w:val="19"/>
              </w:rPr>
              <w:t xml:space="preserve">&gt; 0.90 – 0.92</w:t>
            </w:r>
          </w:p>
        </w:tc>
        <w:tc>
          <w:tcPr>
            <w:tcW w:type="dxa" w:w="19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19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1920"/>
            <w:shd w:fill="FBE9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B3261E"/>
                <w:sz w:val="19"/>
                <w:szCs w:val="19"/>
              </w:rPr>
              <w:t xml:space="preserve">PA</w:t>
            </w:r>
          </w:p>
        </w:tc>
        <w:tc>
          <w:tcPr>
            <w:tcW w:type="dxa" w:w="1920"/>
            <w:shd w:fill="FBE9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B3261E"/>
                <w:sz w:val="19"/>
                <w:szCs w:val="19"/>
              </w:rPr>
              <w:t xml:space="preserve">PA</w:t>
            </w:r>
          </w:p>
        </w:tc>
      </w:tr>
      <w:tr>
        <w:tc>
          <w:tcPr>
            <w:tcW w:type="dxa" w:w="1920"/>
            <w:shd w:fill="F3F7F4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sz w:val="19"/>
                <w:szCs w:val="19"/>
              </w:rPr>
              <w:t xml:space="preserve">&gt; 0.92</w:t>
            </w:r>
          </w:p>
        </w:tc>
        <w:tc>
          <w:tcPr>
            <w:tcW w:type="dxa" w:w="19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sz w:val="19"/>
                <w:szCs w:val="19"/>
              </w:rPr>
              <w:t xml:space="preserve">ไม่ใช่ TCS</w:t>
            </w:r>
          </w:p>
        </w:tc>
        <w:tc>
          <w:tcPr>
            <w:tcW w:type="dxa" w:w="1920"/>
            <w:shd w:fill="FBE9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B3261E"/>
                <w:sz w:val="19"/>
                <w:szCs w:val="19"/>
              </w:rPr>
              <w:t xml:space="preserve">PA</w:t>
            </w:r>
          </w:p>
        </w:tc>
        <w:tc>
          <w:tcPr>
            <w:tcW w:type="dxa" w:w="1920"/>
            <w:shd w:fill="FBE9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B3261E"/>
                <w:sz w:val="19"/>
                <w:szCs w:val="19"/>
              </w:rPr>
              <w:t xml:space="preserve">PA</w:t>
            </w:r>
          </w:p>
        </w:tc>
        <w:tc>
          <w:tcPr>
            <w:tcW w:type="dxa" w:w="1920"/>
            <w:shd w:fill="FBE9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B3261E"/>
                <w:sz w:val="19"/>
                <w:szCs w:val="19"/>
              </w:rPr>
              <w:t xml:space="preserve">PA</w:t>
            </w:r>
          </w:p>
        </w:tc>
      </w:tr>
    </w:tbl>
    <w:p>
      <w:pPr>
        <w:spacing w:after="8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1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PA</w:t>
      </w:r>
      <w:r>
        <w:rPr>
          <w:rFonts w:ascii="Sarabun" w:cs="Sarabun" w:eastAsia="Sarabun" w:hAnsi="Sarabun"/>
          <w:sz w:val="20"/>
          <w:szCs w:val="20"/>
        </w:rPr>
        <w:t xml:space="preserve"> = Product Assessment required — ยังตัดสินจากสองค่านี้ไม่ได้ ต้องประเมินเพิ่ม เช่น challenge study หรือแบบจำลองทำนาย โดยผู้เชี่ยวชาญด้านจุลชีววิทยาอาหาร 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ระหว่างที่ยังไม่มีผลประเมิน ให้ถือว่าเป็น TCS ไว้ก่อน</w:t>
      </w:r>
    </w:p>
    <w:p>
      <w:pPr>
        <w:pStyle w:val="Heading2"/>
        <w:spacing w:after="100" w:before="260"/>
      </w:pPr>
      <w:r>
        <w:rPr>
          <w:rFonts w:ascii="Sarabun" w:cs="Sarabun" w:eastAsia="Sarabun" w:hAnsi="Sarabun"/>
          <w:b/>
          <w:bCs/>
          <w:color w:val="2F6B45"/>
          <w:sz w:val="26"/>
          <w:szCs w:val="26"/>
        </w:rPr>
        <w:t xml:space="preserve">ขั้นที่ 2 — วัดค่าจริง ไม่ใช่คำนวณ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pH</w:t>
      </w:r>
      <w:r>
        <w:rPr>
          <w:rFonts w:ascii="Sarabun" w:cs="Sarabun" w:eastAsia="Sarabun" w:hAnsi="Sarabun"/>
          <w:sz w:val="20"/>
          <w:szCs w:val="20"/>
        </w:rPr>
        <w:t xml:space="preserve"> — วัดจากผลิตภัณฑ์สำเร็จรูป และเป็นค่า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หลังเข้าสู่สมดุล</w:t>
      </w:r>
      <w:r>
        <w:rPr>
          <w:rFonts w:ascii="Sarabun" w:cs="Sarabun" w:eastAsia="Sarabun" w:hAnsi="Sarabun"/>
          <w:sz w:val="20"/>
          <w:szCs w:val="20"/>
        </w:rPr>
        <w:t xml:space="preserve"> ไม่ใช่ค่าที่วัดทันทีหลังผสม เพราะกรดต้องใช้เวลาแทรกเข้าเนื้ออาหาร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aw</w:t>
      </w:r>
      <w:r>
        <w:rPr>
          <w:rFonts w:ascii="Sarabun" w:cs="Sarabun" w:eastAsia="Sarabun" w:hAnsi="Sarabun"/>
          <w:sz w:val="20"/>
          <w:szCs w:val="20"/>
        </w:rPr>
        <w:t xml:space="preserve"> — วัดด้วยเครื่องวัด water activity เท่านั้น 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aw ไม่ใช่ปริมาณความชื้น</w:t>
      </w:r>
      <w:r>
        <w:rPr>
          <w:rFonts w:ascii="Sarabun" w:cs="Sarabun" w:eastAsia="Sarabun" w:hAnsi="Sarabun"/>
          <w:sz w:val="20"/>
          <w:szCs w:val="20"/>
        </w:rPr>
        <w:t xml:space="preserve"> เป็นคนละค่ากันโดยสิ้นเชิง</w:t>
      </w:r>
    </w:p>
    <w:p>
      <w:pPr>
        <w:pStyle w:val="Heading2"/>
        <w:spacing w:after="100" w:before="260"/>
      </w:pPr>
      <w:r>
        <w:rPr>
          <w:rFonts w:ascii="Sarabun" w:cs="Sarabun" w:eastAsia="Sarabun" w:hAnsi="Sarabun"/>
          <w:b/>
          <w:bCs/>
          <w:color w:val="2F6B45"/>
          <w:sz w:val="26"/>
          <w:szCs w:val="26"/>
        </w:rPr>
        <w:t xml:space="preserve">สามข้อผิดพลาดที่เจอบ่อยที่สุด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วัด pH ตอนเพิ่งผสมเสร็จ</w:t>
      </w:r>
      <w:r>
        <w:rPr>
          <w:rFonts w:ascii="Sarabun" w:cs="Sarabun" w:eastAsia="Sarabun" w:hAnsi="Sarabun"/>
          <w:sz w:val="20"/>
          <w:szCs w:val="20"/>
        </w:rPr>
        <w:t xml:space="preserve"> — ค่าจะต่ำกว่าความจริง เพราะกรดยังไม่แทรกเข้าชิ้นอาหารด้านใน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ประมาณ aw จากปริมาณน้ำในสูตร</w:t>
      </w:r>
      <w:r>
        <w:rPr>
          <w:rFonts w:ascii="Sarabun" w:cs="Sarabun" w:eastAsia="Sarabun" w:hAnsi="Sarabun"/>
          <w:sz w:val="20"/>
          <w:szCs w:val="20"/>
        </w:rPr>
        <w:t xml:space="preserve"> — ผิดหลักการ ต้องวัดเท่านั้น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ใช้ตาราง A ทั้งที่สินค้าไม่ได้บรรจุปิดสนิท</w:t>
      </w:r>
      <w:r>
        <w:rPr>
          <w:rFonts w:ascii="Sarabun" w:cs="Sarabun" w:eastAsia="Sarabun" w:hAnsi="Sarabun"/>
          <w:sz w:val="20"/>
          <w:szCs w:val="20"/>
        </w:rPr>
        <w:t xml:space="preserve"> — เกณฑ์ตาราง A หลวมกว่ามาก การหยิบผิดใบทำให้สินค้าที่ควรแช่เย็นกลายเป็นสินค้าวางอุณหภูมิห้อง</w:t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0" w:before="0"/>
      </w:pPr>
      <w:r>
        <w:rPr>
          <w:rFonts w:ascii="Sarabun" w:cs="Sarabun" w:eastAsia="Sarabun" w:hAnsi="Sarabun"/>
          <w:color w:val="777777"/>
          <w:sz w:val="16"/>
          <w:szCs w:val="16"/>
        </w:rPr>
        <w:t xml:space="preserve">เอกสารนี้เรียบเรียงโดย SP Solution Center ด้วยถ้อยคำของเราเอง ไม่ใช่คำแปลอย่างเป็นทางการและไม่ใช่คำแนะนำทางกฎหมาย ตัวเลขอ้างจาก Food Code ฉบับปี 2022 ซึ่งอาจต่างจากฉบับที่แต่ละรัฐรับไปใช้จริง การปฏิบัติให้ยึดตัวบทภาษาอังกฤษและกฎของรัฐนั้นเป็นหลัก · ต้นฉบับ: fda.gov/food/fda-food-code/food-code-2022</w:t>
      </w:r>
    </w:p>
    <w:sectPr>
      <w:footerReference w:type="default" r:id="rId7"/>
      <w:pgSz w:w="11906" w:h="16838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6"/>
        <w:szCs w:val="16"/>
      </w:rPr>
      <w:t xml:space="preserve">SP Solution Center · spsolutioncenter.com · เรียบเรียงจาก U.S. FDA Food Code 2022 · ไม่ใช่เอกสารของ U.S. FDA · หน้า </w:t>
    </w:r>
    <w:r>
      <w:rPr>
        <w:rFonts w:ascii="Sarabun" w:cs="Sarabun" w:eastAsia="Sarabun" w:hAnsi="Sarabun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2026-09-06T08:59:05.461Z</dcterms:created>
  <dcterms:modified xsi:type="dcterms:W3CDTF">2026-09-06T08:59:05.462Z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