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0"/>
      </w:pPr>
    </w:p>
    <w:p>
      <w:pPr>
        <w:spacing w:before="0" w:after="80"/>
        <w:jc w:val="center"/>
      </w:pPr>
      <w:r>
        <w:rPr>
          <w:rFonts w:ascii="TH Sarabun New" w:hAnsi="TH Sarabun New" w:cs="TH Sarabun New" w:eastAsia="TH Sarabun New"/>
          <w:b/>
          <w:i w:val="0"/>
          <w:color w:val="17365D"/>
          <w:sz w:val="52"/>
        </w:rPr>
        <w:t>เช็กลิสต์เตรียมต่ออายุทะเบียนโรงงานอาหารกับ U.S. FDA</w:t>
      </w:r>
    </w:p>
    <w:p>
      <w:pPr>
        <w:spacing w:before="0" w:after="280"/>
        <w:jc w:val="center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34"/>
        </w:rPr>
        <w:t>รอบต่ออายุ 1 ตุลาคม – 31 ธันวาคม 2569 (ค.ศ. 2026)</w:t>
      </w:r>
    </w:p>
    <w:p>
      <w:pPr>
        <w:spacing w:before="0" w:after="520"/>
        <w:jc w:val="center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4"/>
        </w:rPr>
        <w:t>อ้างอิง 21 CFR Part 1 Subpart H · 21 CFR 1.285 · 21 CFR Part 117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2494"/>
        <w:gridCol w:w="2494"/>
        <w:gridCol w:w="2494"/>
        <w:gridCol w:w="2496"/>
      </w:tblGrid>
      <w:tr>
        <w:trPr>
          <w:cantSplit w:val="true"/>
          <w:tblHeader w:val="true"/>
        </w:trPr>
        <w:tc>
          <w:tcPr>
            <w:tcW w:type="dxa" w:w="249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ชื่อบริษัท / โรงงาน</w:t>
            </w:r>
          </w:p>
        </w:tc>
        <w:tc>
          <w:tcPr>
            <w:tcW w:type="dxa" w:w="249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เลขทะเบียน FDA เดิม</w:t>
            </w:r>
          </w:p>
        </w:tc>
        <w:tc>
          <w:tcPr>
            <w:tcW w:type="dxa" w:w="249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ผู้รับผิดชอบ</w:t>
            </w:r>
          </w:p>
        </w:tc>
        <w:tc>
          <w:tcPr>
            <w:tcW w:type="dxa" w:w="24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วันที่ทบทวนเช็กลิสต์</w:t>
            </w:r>
          </w:p>
        </w:tc>
      </w:tr>
      <w:tr>
        <w:trPr>
          <w:cantSplit w:val="true"/>
        </w:trPr>
        <w:tc>
          <w:tcPr>
            <w:tcW w:type="dxa" w:w="24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24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24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24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</w:tr>
    </w:tbl>
    <w:p>
      <w:pPr>
        <w:spacing w:before="0" w:after="280"/>
      </w:pPr>
    </w:p>
    <w:p>
      <w:pPr>
        <w:spacing w:before="0" w:after="8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26"/>
        </w:rPr>
        <w:t>เอกสารนี้เป็นเครื่องมือช่วยไล่งานให้ครบก่อนเข้าระบบ FURLS จัดทำขึ้นด้วยถ้อยคำของเราเอง เพื่อสรุปสาระสำคัญให้ใช้งานง่าย ไม่ใช่คำแปลอย่างเป็นทางการของกฎหมายฉบับใด และไม่ใช่คำแนะนำทางกฎหมาย การปฏิบัติจริงให้ยึดตัวบทกฎหมายและประกาศของ FDA เป็นหลัก</w:t>
      </w:r>
    </w:p>
    <w:p>
      <w:pPr>
        <w:spacing w:before="0" w:after="160"/>
      </w:pPr>
      <w:r>
        <w:rPr>
          <w:rFonts w:ascii="TH Sarabun New" w:hAnsi="TH Sarabun New" w:cs="TH Sarabun New" w:eastAsia="TH Sarabun New"/>
          <w:b w:val="0"/>
          <w:i/>
          <w:color w:val="6B6B6B"/>
          <w:sz w:val="24"/>
        </w:rPr>
        <w:t>เกณฑ์สำคัญที่ใช้ตลอดเอกสารนี้ — FDA ไม่เก็บค่าธรรมเนียมการจดทะเบียนและการต่ออายุ · ต้องยื่นทางระบบออนไลน์ FURLS · กรอกเป็นภาษาอังกฤษด้วยอักษรละติน</w:t>
      </w:r>
    </w:p>
    <w:p>
      <w:r>
        <w:br w:type="page"/>
      </w:r>
    </w:p>
    <w:p>
      <w:pPr>
        <w:spacing w:before="280" w:after="120"/>
      </w:pPr>
      <w:r>
        <w:rPr>
          <w:rFonts w:ascii="TH Sarabun New" w:hAnsi="TH Sarabun New" w:cs="TH Sarabun New" w:eastAsia="TH Sarabun New"/>
          <w:b/>
          <w:i w:val="0"/>
          <w:color w:val="17365D"/>
          <w:sz w:val="40"/>
        </w:rPr>
        <w:t>ส่วนที่ 1 · โรงงานของเราเข้าข่ายต้องจดทะเบียนหรือไม่</w:t>
      </w:r>
    </w:p>
    <w:p>
      <w:pPr>
        <w:spacing w:before="0" w:after="8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26"/>
        </w:rPr>
        <w:t>อ้างอิง 21 CFR 1.225 (ผู้ที่ต้องจดทะเบียน) และ 21 CFR 1.226 (ข้อยกเว้น)</w:t>
      </w:r>
    </w:p>
    <w:p>
      <w:pPr>
        <w:spacing w:before="0"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6385"/>
        <w:gridCol w:w="1796"/>
        <w:gridCol w:w="1797"/>
      </w:tblGrid>
      <w:tr>
        <w:trPr>
          <w:cantSplit w:val="true"/>
          <w:tblHeader w:val="true"/>
        </w:trPr>
        <w:tc>
          <w:tcPr>
            <w:tcW w:type="dxa" w:w="638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คำถาม</w:t>
            </w:r>
          </w:p>
        </w:tc>
        <w:tc>
          <w:tcPr>
            <w:tcW w:type="dxa" w:w="17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ใช่</w:t>
            </w:r>
          </w:p>
        </w:tc>
        <w:tc>
          <w:tcPr>
            <w:tcW w:type="dxa" w:w="1797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ไม่ใช่</w:t>
            </w:r>
          </w:p>
        </w:tc>
      </w:tr>
      <w:tr>
        <w:trPr>
          <w:cantSplit w:val="true"/>
        </w:trPr>
        <w:tc>
          <w:tcPr>
            <w:tcW w:type="dxa" w:w="63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สถานประกอบการของเรา ผลิต แปรรูป บรรจุ หรือเก็บรักษาอาหาร (รวมอาหารสัตว์) ใช่หรือไม่</w:t>
            </w:r>
          </w:p>
        </w:tc>
        <w:tc>
          <w:tcPr>
            <w:tcW w:type="dxa" w:w="1796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1797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</w:tr>
      <w:tr>
        <w:trPr>
          <w:cantSplit w:val="true"/>
        </w:trPr>
        <w:tc>
          <w:tcPr>
            <w:tcW w:type="dxa" w:w="63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อาหารนั้นมีปลายทางเพื่อการบริโภคในสหรัฐอเมริกา ใช่หรือไม่</w:t>
            </w:r>
          </w:p>
        </w:tc>
        <w:tc>
          <w:tcPr>
            <w:tcW w:type="dxa" w:w="1796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1797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</w:tr>
      <w:tr>
        <w:trPr>
          <w:cantSplit w:val="true"/>
        </w:trPr>
        <w:tc>
          <w:tcPr>
            <w:tcW w:type="dxa" w:w="63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เราเป็นฟาร์มตามนิยามของ FDA ใช่หรือไม่</w:t>
            </w:r>
          </w:p>
        </w:tc>
        <w:tc>
          <w:tcPr>
            <w:tcW w:type="dxa" w:w="1796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1797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</w:tr>
      <w:tr>
        <w:trPr>
          <w:cantSplit w:val="true"/>
        </w:trPr>
        <w:tc>
          <w:tcPr>
            <w:tcW w:type="dxa" w:w="63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เราเป็นร้านค้าปลีกอาหาร ร้านอาหาร หรือหน่วยงานไม่แสวงหากำไรที่เสิร์ฟอาหารถึงผู้บริโภคโดยตรง ใช่หรือไม่</w:t>
            </w:r>
          </w:p>
        </w:tc>
        <w:tc>
          <w:tcPr>
            <w:tcW w:type="dxa" w:w="1796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1797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</w:tr>
      <w:tr>
        <w:trPr>
          <w:cantSplit w:val="true"/>
        </w:trPr>
        <w:tc>
          <w:tcPr>
            <w:tcW w:type="dxa" w:w="63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เราเป็นเรือประมงที่ทำเฉพาะการจับ ขนส่ง และถนอมอาหารเบื้องต้นบนเรือ ใช่หรือไม่</w:t>
            </w:r>
          </w:p>
        </w:tc>
        <w:tc>
          <w:tcPr>
            <w:tcW w:type="dxa" w:w="1796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1797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</w:tr>
      <w:tr>
        <w:trPr>
          <w:cantSplit w:val="true"/>
        </w:trPr>
        <w:tc>
          <w:tcPr>
            <w:tcW w:type="dxa" w:w="63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เราอยู่ภายใต้การกำกับของ USDA เพียงหน่วยเดียวตลอดทั้งสถานประกอบการ (เนื้อสัตว์ สัตว์ปีก ผลิตภัณฑ์ไข่) ใช่หรือไม่</w:t>
            </w:r>
          </w:p>
        </w:tc>
        <w:tc>
          <w:tcPr>
            <w:tcW w:type="dxa" w:w="1796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1797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</w:tr>
      <w:tr>
        <w:trPr>
          <w:cantSplit w:val="true"/>
        </w:trPr>
        <w:tc>
          <w:tcPr>
            <w:tcW w:type="dxa" w:w="63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อาหารจากโรงงานเราถูกนำไปผลิตหรือแปรรูปต่อโดยโรงงานอีกแห่งนอกสหรัฐอเมริกา ใช่หรือไม่</w:t>
            </w:r>
          </w:p>
        </w:tc>
        <w:tc>
          <w:tcPr>
            <w:tcW w:type="dxa" w:w="1796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1797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</w:tr>
      <w:tr>
        <w:trPr>
          <w:cantSplit w:val="true"/>
        </w:trPr>
        <w:tc>
          <w:tcPr>
            <w:tcW w:type="dxa" w:w="63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ถ้าตอบใช่ในข้อก่อนหน้า — สิ่งที่โรงงานปลายทางทำ เป็นมากกว่าการติดฉลากหรือกิจกรรมเล็กน้อย ใช่หรือไม่</w:t>
            </w:r>
          </w:p>
        </w:tc>
        <w:tc>
          <w:tcPr>
            <w:tcW w:type="dxa" w:w="1796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1797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</w:tr>
    </w:tbl>
    <w:p>
      <w:pPr>
        <w:spacing w:before="0" w:after="120"/>
      </w:pPr>
    </w:p>
    <w:p>
      <w:pPr>
        <w:spacing w:before="240" w:after="80"/>
      </w:pPr>
      <w:r>
        <w:rPr>
          <w:rFonts w:ascii="TH Sarabun New" w:hAnsi="TH Sarabun New" w:cs="TH Sarabun New" w:eastAsia="TH Sarabun New"/>
          <w:b/>
          <w:i w:val="0"/>
          <w:color w:val="17365D"/>
          <w:sz w:val="32"/>
        </w:rPr>
        <w:t>วิธีอ่านผล</w:t>
      </w:r>
    </w:p>
    <w:p>
      <w:pPr>
        <w:spacing w:before="0" w:after="8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26"/>
        </w:rPr>
        <w:t>• ตอบ “ใช่” ทั้งข้อ 1 และข้อ 2 และไม่เข้าข้อยกเว้นข้อ 3 ถึง 6 → เข้าข่ายต้องจดทะเบียนและต้องต่ออายุในรอบนี้</w:t>
      </w:r>
    </w:p>
    <w:p>
      <w:pPr>
        <w:spacing w:before="0" w:after="8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26"/>
        </w:rPr>
        <w:t>• ข้อ 7 กับข้อ 8 ต้องอ่านคู่กันเสมอ ข้อยกเว้นสำหรับโรงงานต่างประเทศตาม 21 CFR 1.226(a) ใช้ได้เมื่อของถูกนำไปผลิตหรือแปรรูปต่อจริง ซึ่งตัวบทระบุว่ารวมถึงการบรรจุหีบห่อด้วย แต่ถ้าโรงงานปลายทางเพียงติดฉลากหรือทำกิจกรรมเล็กน้อยทำนองเดียวกัน ข้อยกเว้นใช้ไม่ได้ และโรงงานต้นทางยังต้องจดทะเบียน</w:t>
      </w:r>
    </w:p>
    <w:p>
      <w:pPr>
        <w:spacing w:before="0" w:after="80"/>
      </w:pPr>
    </w:p>
    <w:p>
      <w:pPr>
        <w:spacing w:before="0" w:after="160"/>
      </w:pPr>
      <w:r>
        <w:rPr>
          <w:rFonts w:ascii="TH Sarabun New" w:hAnsi="TH Sarabun New" w:cs="TH Sarabun New" w:eastAsia="TH Sarabun New"/>
          <w:b w:val="0"/>
          <w:i/>
          <w:color w:val="6B6B6B"/>
          <w:sz w:val="24"/>
        </w:rPr>
        <w:t>หมายเหตุ — หน้าที่จดทะเบียนผูกกับสถานประกอบการที่ผลิต แปรรูป บรรจุ หรือเก็บรักษา ไม่ได้ผูกกับผู้ที่ทำเอกสารส่งออก การขายผ่านเทรดเดอร์จึงไม่ทำให้หน้าที่นี้หายไป</w:t>
      </w:r>
    </w:p>
    <w:p>
      <w:pPr>
        <w:spacing w:before="280" w:after="120"/>
      </w:pPr>
      <w:r>
        <w:rPr>
          <w:rFonts w:ascii="TH Sarabun New" w:hAnsi="TH Sarabun New" w:cs="TH Sarabun New" w:eastAsia="TH Sarabun New"/>
          <w:b/>
          <w:i w:val="0"/>
          <w:color w:val="17365D"/>
          <w:sz w:val="40"/>
        </w:rPr>
        <w:t>ส่วนที่ 2 · ข้อมูลที่ต้องเตรียมก่อนเข้าระบบ</w:t>
      </w:r>
    </w:p>
    <w:p>
      <w:pPr>
        <w:spacing w:before="0" w:after="8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26"/>
        </w:rPr>
        <w:t>อ้างอิง 21 CFR 1.232 — กรอกข้อมูลจริงลงในช่องขวาไว้ล่วงหน้า จะทำให้ขั้นตอนในระบบเร็วขึ้นมาก</w:t>
      </w:r>
    </w:p>
    <w:p>
      <w:pPr>
        <w:spacing w:before="0" w:after="80"/>
      </w:pPr>
    </w:p>
    <w:p>
      <w:pPr>
        <w:spacing w:before="240" w:after="80"/>
      </w:pPr>
      <w:r>
        <w:rPr>
          <w:rFonts w:ascii="TH Sarabun New" w:hAnsi="TH Sarabun New" w:cs="TH Sarabun New" w:eastAsia="TH Sarabun New"/>
          <w:b/>
          <w:i w:val="0"/>
          <w:color w:val="17365D"/>
          <w:sz w:val="32"/>
        </w:rPr>
        <w:t>2.1 ข้อมูลที่ทุกสถานประกอบการต้องมี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798"/>
        <w:gridCol w:w="4589"/>
        <w:gridCol w:w="4591"/>
      </w:tblGrid>
      <w:tr>
        <w:trPr>
          <w:cantSplit w:val="true"/>
          <w:tblHeader w:val="true"/>
        </w:trPr>
        <w:tc>
          <w:tcPr>
            <w:tcW w:type="dxa" w:w="7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เตรียมแล้ว</w:t>
            </w:r>
          </w:p>
        </w:tc>
        <w:tc>
          <w:tcPr>
            <w:tcW w:type="dxa" w:w="4589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รายการข้อมูล</w:t>
            </w:r>
          </w:p>
        </w:tc>
        <w:tc>
          <w:tcPr>
            <w:tcW w:type="dxa" w:w="4591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ข้อมูลจริงของเรา</w:t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45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ชื่อสถานประกอบการ (ภาษาอังกฤษ ตามที่จดทะเบียนไว้)</w:t>
            </w:r>
          </w:p>
        </w:tc>
        <w:tc>
          <w:tcPr>
            <w:tcW w:type="dxa" w:w="45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45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ที่อยู่สถานประกอบการ</w:t>
            </w:r>
          </w:p>
        </w:tc>
        <w:tc>
          <w:tcPr>
            <w:tcW w:type="dxa" w:w="45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45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เบอร์โทรศัพท์สถานประกอบการ</w:t>
            </w:r>
          </w:p>
        </w:tc>
        <w:tc>
          <w:tcPr>
            <w:tcW w:type="dxa" w:w="45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45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หมายเลขระบุสถานประกอบการ (UFI) — ปัจจุบันคือหมายเลข DUNS</w:t>
            </w:r>
          </w:p>
        </w:tc>
        <w:tc>
          <w:tcPr>
            <w:tcW w:type="dxa" w:w="45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45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ที่อยู่สำหรับส่งเอกสาร (กรอกเมื่อต่างจากที่ตั้ง)</w:t>
            </w:r>
          </w:p>
        </w:tc>
        <w:tc>
          <w:tcPr>
            <w:tcW w:type="dxa" w:w="45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45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ชื่อและที่อยู่บริษัทแม่ (กรอกเมื่อมี)</w:t>
            </w:r>
          </w:p>
        </w:tc>
        <w:tc>
          <w:tcPr>
            <w:tcW w:type="dxa" w:w="45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45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ชื่อทางการค้าทุกชื่อที่สถานประกอบการใช้</w:t>
            </w:r>
          </w:p>
        </w:tc>
        <w:tc>
          <w:tcPr>
            <w:tcW w:type="dxa" w:w="45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45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ชื่อ ที่อยู่ เบอร์โทร และอีเมลของเจ้าของ ผู้ดำเนินการ หรือตัวแทนผู้รับผิดชอบ</w:t>
            </w:r>
          </w:p>
        </w:tc>
        <w:tc>
          <w:tcPr>
            <w:tcW w:type="dxa" w:w="45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45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หมวดผลิตภัณฑ์อาหารที่เกี่ยวข้อง</w:t>
            </w:r>
          </w:p>
        </w:tc>
        <w:tc>
          <w:tcPr>
            <w:tcW w:type="dxa" w:w="45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45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ประเภทกิจกรรมที่ดำเนินการ ณ สถานประกอบการ</w:t>
            </w:r>
          </w:p>
        </w:tc>
        <w:tc>
          <w:tcPr>
            <w:tcW w:type="dxa" w:w="45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45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ข้อความยินยอมให้ FDA เข้าตรวจสถานประกอบการ</w:t>
            </w:r>
          </w:p>
        </w:tc>
        <w:tc>
          <w:tcPr>
            <w:tcW w:type="dxa" w:w="45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45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คำรับรองความถูกต้องของข้อมูลโดยผู้มีอำนาจ</w:t>
            </w:r>
          </w:p>
        </w:tc>
        <w:tc>
          <w:tcPr>
            <w:tcW w:type="dxa" w:w="45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</w:tbl>
    <w:p>
      <w:pPr>
        <w:spacing w:before="0" w:after="160"/>
      </w:pPr>
    </w:p>
    <w:p>
      <w:pPr>
        <w:spacing w:before="240" w:after="80"/>
      </w:pPr>
      <w:r>
        <w:rPr>
          <w:rFonts w:ascii="TH Sarabun New" w:hAnsi="TH Sarabun New" w:cs="TH Sarabun New" w:eastAsia="TH Sarabun New"/>
          <w:b/>
          <w:i w:val="0"/>
          <w:color w:val="17365D"/>
          <w:sz w:val="32"/>
        </w:rPr>
        <w:t>2.2 ข้อมูลที่สถานประกอบการนอกสหรัฐอเมริกาต้องมีเพิ่ม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798"/>
        <w:gridCol w:w="4589"/>
        <w:gridCol w:w="4591"/>
      </w:tblGrid>
      <w:tr>
        <w:trPr>
          <w:cantSplit w:val="true"/>
          <w:tblHeader w:val="true"/>
        </w:trPr>
        <w:tc>
          <w:tcPr>
            <w:tcW w:type="dxa" w:w="7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เตรียมแล้ว</w:t>
            </w:r>
          </w:p>
        </w:tc>
        <w:tc>
          <w:tcPr>
            <w:tcW w:type="dxa" w:w="4589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รายการข้อมูล</w:t>
            </w:r>
          </w:p>
        </w:tc>
        <w:tc>
          <w:tcPr>
            <w:tcW w:type="dxa" w:w="4591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ข้อมูลจริงของเรา</w:t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45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ชื่อ U.S. agent</w:t>
            </w:r>
          </w:p>
        </w:tc>
        <w:tc>
          <w:tcPr>
            <w:tcW w:type="dxa" w:w="45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45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ที่อยู่ U.S. agent (ต้องอยู่ในสหรัฐอเมริกา)</w:t>
            </w:r>
          </w:p>
        </w:tc>
        <w:tc>
          <w:tcPr>
            <w:tcW w:type="dxa" w:w="45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45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เบอร์โทรศัพท์ U.S. agent</w:t>
            </w:r>
          </w:p>
        </w:tc>
        <w:tc>
          <w:tcPr>
            <w:tcW w:type="dxa" w:w="45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45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อีเมล U.S. agent</w:t>
            </w:r>
          </w:p>
        </w:tc>
        <w:tc>
          <w:tcPr>
            <w:tcW w:type="dxa" w:w="45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45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เบอร์โทรศัพท์ผู้ติดต่อกรณีฉุกเฉิน</w:t>
            </w:r>
          </w:p>
        </w:tc>
        <w:tc>
          <w:tcPr>
            <w:tcW w:type="dxa" w:w="45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45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อีเมลผู้ติดต่อกรณีฉุกเฉิน</w:t>
            </w:r>
          </w:p>
        </w:tc>
        <w:tc>
          <w:tcPr>
            <w:tcW w:type="dxa" w:w="45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</w:tbl>
    <w:p>
      <w:pPr>
        <w:spacing w:before="0" w:after="120"/>
      </w:pPr>
    </w:p>
    <w:p>
      <w:pPr>
        <w:spacing w:before="0" w:after="160"/>
      </w:pPr>
      <w:r>
        <w:rPr>
          <w:rFonts w:ascii="TH Sarabun New" w:hAnsi="TH Sarabun New" w:cs="TH Sarabun New" w:eastAsia="TH Sarabun New"/>
          <w:b w:val="0"/>
          <w:i/>
          <w:color w:val="6B6B6B"/>
          <w:sz w:val="24"/>
        </w:rPr>
        <w:t>U.S. agent ตามนิยามใน 21 CFR 1.227 คือผู้ที่พำนักหรือมีสถานประกอบการอยู่ในสหรัฐอเมริกาและอยู่ในสหรัฐอเมริกาจริง ทำหน้าที่เป็นช่องทางติดต่อแทนสถานประกอบการ และตาม 21 CFR 1.231(a)(5) FDA จะยังไม่ยืนยันการจดทะเบียน และยังไม่ออกหมายเลขทะเบียน จนกว่าผู้ที่ถูกระบุจะยืนยันว่าตกลงรับหน้าที่</w:t>
      </w:r>
    </w:p>
    <w:p>
      <w:pPr>
        <w:spacing w:before="280" w:after="120"/>
      </w:pPr>
      <w:r>
        <w:rPr>
          <w:rFonts w:ascii="TH Sarabun New" w:hAnsi="TH Sarabun New" w:cs="TH Sarabun New" w:eastAsia="TH Sarabun New"/>
          <w:b/>
          <w:i w:val="0"/>
          <w:color w:val="17365D"/>
          <w:sz w:val="40"/>
        </w:rPr>
        <w:t>ส่วนที่ 3 · UFI และ DUNS</w:t>
      </w:r>
    </w:p>
    <w:p>
      <w:pPr>
        <w:spacing w:before="0" w:after="8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26"/>
        </w:rPr>
        <w:t>อ้างอิง 21 CFR 1.227 (นิยาม UFI) · 21 CFR 1.232(a)(2) (ข้อกำหนดให้ระบุ UFI) และแนวปฏิบัติของ FDA เรื่อง Unique Facility Identifier</w:t>
      </w:r>
    </w:p>
    <w:p>
      <w:pPr>
        <w:spacing w:before="0"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3392"/>
        <w:gridCol w:w="6586"/>
      </w:tblGrid>
      <w:tr>
        <w:trPr>
          <w:cantSplit w:val="true"/>
          <w:tblHeader w:val="true"/>
        </w:trPr>
        <w:tc>
          <w:tcPr>
            <w:tcW w:type="dxa" w:w="3392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ประเด็น</w:t>
            </w:r>
          </w:p>
        </w:tc>
        <w:tc>
          <w:tcPr>
            <w:tcW w:type="dxa" w:w="658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สาระสำคัญ</w:t>
            </w:r>
          </w:p>
        </w:tc>
      </w:tr>
      <w:tr>
        <w:trPr>
          <w:cantSplit w:val="true"/>
        </w:trPr>
        <w:tc>
          <w:tcPr>
            <w:tcW w:type="dxa" w:w="339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บังคับตั้งแต่เมื่อไร</w:t>
            </w:r>
          </w:p>
        </w:tc>
        <w:tc>
          <w:tcPr>
            <w:tcW w:type="dxa" w:w="65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ต้องระบุ UFI ที่ FDA ยอมรับ ตั้งแต่วันที่ 1 ตุลาคม ค.ศ. 2020 เป็นต้นมา (21 CFR 1.232(a)(2))</w:t>
            </w:r>
          </w:p>
        </w:tc>
      </w:tr>
      <w:tr>
        <w:trPr>
          <w:cantSplit w:val="true"/>
        </w:trPr>
        <w:tc>
          <w:tcPr>
            <w:tcW w:type="dxa" w:w="339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FDA ยอมรับเลขอะไร</w:t>
            </w:r>
          </w:p>
        </w:tc>
        <w:tc>
          <w:tcPr>
            <w:tcW w:type="dxa" w:w="65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ปัจจุบัน FDA รับรองหมายเลข DUNS ของ Dun &amp; Bradstreet เป็น UFI ที่ยอมรับได้</w:t>
            </w:r>
          </w:p>
        </w:tc>
      </w:tr>
      <w:tr>
        <w:trPr>
          <w:cantSplit w:val="true"/>
        </w:trPr>
        <w:tc>
          <w:tcPr>
            <w:tcW w:type="dxa" w:w="339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ระบบตรวจอะไร</w:t>
            </w:r>
          </w:p>
        </w:tc>
        <w:tc>
          <w:tcPr>
            <w:tcW w:type="dxa" w:w="65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ตาม 21 CFR 1.231(a)(3) FDA จะตรวจ UFI และตรวจว่าที่อยู่ที่ผูกกับเลขนั้นตรงกับที่อยู่ที่ใช้จดทะเบียน</w:t>
            </w:r>
          </w:p>
        </w:tc>
      </w:tr>
      <w:tr>
        <w:trPr>
          <w:cantSplit w:val="true"/>
        </w:trPr>
        <w:tc>
          <w:tcPr>
            <w:tcW w:type="dxa" w:w="339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สิ่งที่ควรทำล่วงหน้า</w:t>
            </w:r>
          </w:p>
        </w:tc>
        <w:tc>
          <w:tcPr>
            <w:tcW w:type="dxa" w:w="65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ต้องมีเลขที่ใช้ได้จริงตั้งแต่ตอนยื่น การผ่อนผันให้กรอก PENDING ในอดีตสิ้นสุดไปแล้ว จึงควรขอเลขไว้ล่วงหน้าและตรวจว่าชื่อกับที่อยู่ในระบบ DUNS ตรงกับที่จะกรอกให้ FDA</w:t>
            </w:r>
          </w:p>
        </w:tc>
      </w:tr>
    </w:tbl>
    <w:p>
      <w:pPr>
        <w:spacing w:before="0" w:after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798"/>
        <w:gridCol w:w="5587"/>
        <w:gridCol w:w="3593"/>
      </w:tblGrid>
      <w:tr>
        <w:trPr>
          <w:cantSplit w:val="true"/>
          <w:tblHeader w:val="true"/>
        </w:trPr>
        <w:tc>
          <w:tcPr>
            <w:tcW w:type="dxa" w:w="7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ทำแล้ว</w:t>
            </w:r>
          </w:p>
        </w:tc>
        <w:tc>
          <w:tcPr>
            <w:tcW w:type="dxa" w:w="5587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สิ่งที่ต้องตรวจ</w:t>
            </w:r>
          </w:p>
        </w:tc>
        <w:tc>
          <w:tcPr>
            <w:tcW w:type="dxa" w:w="3593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ผลการตรวจ / หมายเหตุ</w:t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55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มีหมายเลข DUNS ของสถานประกอบการแห่งนี้แล้ว</w:t>
            </w:r>
          </w:p>
        </w:tc>
        <w:tc>
          <w:tcPr>
            <w:tcW w:type="dxa" w:w="35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55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ชื่อสถานประกอบการในระบบ DUNS ตรงกับที่จะกรอกให้ FDA</w:t>
            </w:r>
          </w:p>
        </w:tc>
        <w:tc>
          <w:tcPr>
            <w:tcW w:type="dxa" w:w="35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55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ที่อยู่ในระบบ DUNS ตรงกับที่อยู่สถานประกอบการที่จะกรอก</w:t>
            </w:r>
          </w:p>
        </w:tc>
        <w:tc>
          <w:tcPr>
            <w:tcW w:type="dxa" w:w="35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</w:tbl>
    <w:p>
      <w:pPr>
        <w:spacing w:before="280" w:after="120"/>
      </w:pPr>
      <w:r>
        <w:rPr>
          <w:rFonts w:ascii="TH Sarabun New" w:hAnsi="TH Sarabun New" w:cs="TH Sarabun New" w:eastAsia="TH Sarabun New"/>
          <w:b/>
          <w:i w:val="0"/>
          <w:color w:val="17365D"/>
          <w:sz w:val="40"/>
        </w:rPr>
        <w:t>ส่วนที่ 4 · ขั้นตอนยื่นต่ออายุ</w:t>
      </w:r>
    </w:p>
    <w:p>
      <w:pPr>
        <w:spacing w:before="0" w:after="8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26"/>
        </w:rPr>
        <w:t>อ้างอิง 21 CFR 1.230 (ช่วงเวลาต่ออายุและการต่ออายุแบบย่อ) และ 21 CFR 1.231 (วิธียื่น)</w:t>
      </w:r>
    </w:p>
    <w:p>
      <w:pPr>
        <w:spacing w:before="0"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698"/>
        <w:gridCol w:w="598"/>
        <w:gridCol w:w="5088"/>
        <w:gridCol w:w="3594"/>
      </w:tblGrid>
      <w:tr>
        <w:trPr>
          <w:cantSplit w:val="true"/>
          <w:tblHeader w:val="true"/>
        </w:trPr>
        <w:tc>
          <w:tcPr>
            <w:tcW w:type="dxa" w:w="6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ทำแล้ว</w:t>
            </w:r>
          </w:p>
        </w:tc>
        <w:tc>
          <w:tcPr>
            <w:tcW w:type="dxa" w:w="5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ขั้น</w:t>
            </w:r>
          </w:p>
        </w:tc>
        <w:tc>
          <w:tcPr>
            <w:tcW w:type="dxa" w:w="508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สิ่งที่ต้องทำ</w:t>
            </w:r>
          </w:p>
        </w:tc>
        <w:tc>
          <w:tcPr>
            <w:tcW w:type="dxa" w:w="359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ผู้รับผิดชอบ / วันที่</w:t>
            </w:r>
          </w:p>
        </w:tc>
      </w:tr>
      <w:tr>
        <w:trPr>
          <w:cantSplit w:val="true"/>
        </w:trPr>
        <w:tc>
          <w:tcPr>
            <w:tcW w:type="dxa" w:w="6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1</w:t>
            </w:r>
          </w:p>
        </w:tc>
        <w:tc>
          <w:tcPr>
            <w:tcW w:type="dxa" w:w="508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โดยเฉพาะเลข DUNS และข้อมูล U.S. agent ซึ่งเป็นสองจุดที่ทำให้งานค้างกลางทางบ่อยที่สุด</w:t>
            </w:r>
          </w:p>
        </w:tc>
        <w:tc>
          <w:tcPr>
            <w:tcW w:type="dxa" w:w="3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6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2</w:t>
            </w:r>
          </w:p>
        </w:tc>
        <w:tc>
          <w:tcPr>
            <w:tcW w:type="dxa" w:w="508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FDA จะยืนยันการรับหน้าที่ไปยังผู้ที่ถูกระบุ ถ้าเขาไม่ยืนยัน การต่ออายุจะไม่สมบูรณ์</w:t>
            </w:r>
          </w:p>
        </w:tc>
        <w:tc>
          <w:tcPr>
            <w:tcW w:type="dxa" w:w="3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6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3</w:t>
            </w:r>
          </w:p>
        </w:tc>
        <w:tc>
          <w:tcPr>
            <w:tcW w:type="dxa" w:w="508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ถ้าผู้ดูแลบัญชีเดิมลาออกไปแล้ว ให้เผื่อเวลาสำหรับการกู้คืนสิทธิ์เข้าถึงไว้ด้วย</w:t>
            </w:r>
          </w:p>
        </w:tc>
        <w:tc>
          <w:tcPr>
            <w:tcW w:type="dxa" w:w="3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6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4</w:t>
            </w:r>
          </w:p>
        </w:tc>
        <w:tc>
          <w:tcPr>
            <w:tcW w:type="dxa" w:w="508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ถ้าข้อมูลไม่เปลี่ยนจากครั้งก่อน สามารถใช้การต่ออายุแบบย่อได้</w:t>
            </w:r>
          </w:p>
        </w:tc>
        <w:tc>
          <w:tcPr>
            <w:tcW w:type="dxa" w:w="3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6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5</w:t>
            </w:r>
          </w:p>
        </w:tc>
        <w:tc>
          <w:tcPr>
            <w:tcW w:type="dxa" w:w="508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ให้ความสำคัญกับหมวดผลิตภัณฑ์และประเภทกิจกรรม เพราะเป็นข้อมูลที่ FDA ใช้จัดกลุ่มความเสี่ยงของสถานประกอบการ</w:t>
            </w:r>
          </w:p>
        </w:tc>
        <w:tc>
          <w:tcPr>
            <w:tcW w:type="dxa" w:w="3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6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6</w:t>
            </w:r>
          </w:p>
        </w:tc>
        <w:tc>
          <w:tcPr>
            <w:tcW w:type="dxa" w:w="508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เก็บหมายเลขทะเบียนและวันที่ยืนยันไว้ใช้ตอบผู้ตรวจและลูกค้าปลายทาง</w:t>
            </w:r>
          </w:p>
        </w:tc>
        <w:tc>
          <w:tcPr>
            <w:tcW w:type="dxa" w:w="3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</w:tbl>
    <w:p>
      <w:pPr>
        <w:spacing w:before="0" w:after="160"/>
      </w:pPr>
    </w:p>
    <w:p>
      <w:pPr>
        <w:spacing w:before="240" w:after="80"/>
      </w:pPr>
      <w:r>
        <w:rPr>
          <w:rFonts w:ascii="TH Sarabun New" w:hAnsi="TH Sarabun New" w:cs="TH Sarabun New" w:eastAsia="TH Sarabun New"/>
          <w:b/>
          <w:i w:val="0"/>
          <w:color w:val="17365D"/>
          <w:sz w:val="32"/>
        </w:rPr>
        <w:t>ข้อควรระวังเรื่องเวลา</w:t>
      </w:r>
    </w:p>
    <w:p>
      <w:pPr>
        <w:spacing w:before="0" w:after="8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26"/>
        </w:rPr>
        <w:t>• FDA ระบุช่วงเวลาไว้เป็นวันที่ แต่ไม่ได้ประกาศว่าใช้เขตเวลาใดเป็นเกณฑ์ตัดรอบ และประเทศไทยเร็วกว่าเขตเวลาต่าง ๆ ของสหรัฐอเมริกาหลายชั่วโมง การเผื่อเวลาไว้จึงปลอดภัยกว่าการยื่นในวันสุดท้าย</w:t>
      </w:r>
    </w:p>
    <w:p>
      <w:pPr>
        <w:spacing w:before="0" w:after="8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26"/>
        </w:rPr>
        <w:t>• ระหว่างที่หน้าต่างต่ออายุเปิดอยู่ ฟังก์ชันปรับปรุงข้อมูลจะใช้ไม่ได้จนกว่าจะต่ออายุเสร็จก่อน</w:t>
      </w:r>
    </w:p>
    <w:p>
      <w:pPr>
        <w:spacing w:before="280" w:after="120"/>
      </w:pPr>
      <w:r>
        <w:rPr>
          <w:rFonts w:ascii="TH Sarabun New" w:hAnsi="TH Sarabun New" w:cs="TH Sarabun New" w:eastAsia="TH Sarabun New"/>
          <w:b/>
          <w:i w:val="0"/>
          <w:color w:val="17365D"/>
          <w:sz w:val="40"/>
        </w:rPr>
        <w:t>ส่วนที่ 5 · หลังยื่นเสร็จ และการติดตามต่อเนื่อง</w:t>
      </w:r>
    </w:p>
    <w:p>
      <w:pPr>
        <w:spacing w:before="240" w:after="80"/>
      </w:pPr>
      <w:r>
        <w:rPr>
          <w:rFonts w:ascii="TH Sarabun New" w:hAnsi="TH Sarabun New" w:cs="TH Sarabun New" w:eastAsia="TH Sarabun New"/>
          <w:b/>
          <w:i w:val="0"/>
          <w:color w:val="17365D"/>
          <w:sz w:val="32"/>
        </w:rPr>
        <w:t>5.1 หลักฐานที่ควรเก็บเข้าระบบเอกสาร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798"/>
        <w:gridCol w:w="5587"/>
        <w:gridCol w:w="3593"/>
      </w:tblGrid>
      <w:tr>
        <w:trPr>
          <w:cantSplit w:val="true"/>
          <w:tblHeader w:val="true"/>
        </w:trPr>
        <w:tc>
          <w:tcPr>
            <w:tcW w:type="dxa" w:w="7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เก็บแล้ว</w:t>
            </w:r>
          </w:p>
        </w:tc>
        <w:tc>
          <w:tcPr>
            <w:tcW w:type="dxa" w:w="5587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หลักฐาน</w:t>
            </w:r>
          </w:p>
        </w:tc>
        <w:tc>
          <w:tcPr>
            <w:tcW w:type="dxa" w:w="3593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ที่จัดเก็บ / เลขที่เอกสาร</w:t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55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หน้ายืนยันการต่ออายุจากระบบ FURLS</w:t>
            </w:r>
          </w:p>
        </w:tc>
        <w:tc>
          <w:tcPr>
            <w:tcW w:type="dxa" w:w="35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55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หมายเลขทะเบียน FDA และวันที่ยืนยัน</w:t>
            </w:r>
          </w:p>
        </w:tc>
        <w:tc>
          <w:tcPr>
            <w:tcW w:type="dxa" w:w="35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55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หนังสือหรืออีเมลยืนยันการรับหน้าที่ของ U.S. agent</w:t>
            </w:r>
          </w:p>
        </w:tc>
        <w:tc>
          <w:tcPr>
            <w:tcW w:type="dxa" w:w="35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55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หลักฐานหมายเลข DUNS ที่ใช้เป็น UFI</w:t>
            </w:r>
          </w:p>
        </w:tc>
        <w:tc>
          <w:tcPr>
            <w:tcW w:type="dxa" w:w="35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</w:tbl>
    <w:p>
      <w:pPr>
        <w:spacing w:before="0" w:after="160"/>
      </w:pPr>
    </w:p>
    <w:p>
      <w:pPr>
        <w:spacing w:before="240" w:after="80"/>
      </w:pPr>
      <w:r>
        <w:rPr>
          <w:rFonts w:ascii="TH Sarabun New" w:hAnsi="TH Sarabun New" w:cs="TH Sarabun New" w:eastAsia="TH Sarabun New"/>
          <w:b/>
          <w:i w:val="0"/>
          <w:color w:val="17365D"/>
          <w:sz w:val="32"/>
        </w:rPr>
        <w:t>5.2 เหตุที่ต้องปรับปรุงข้อมูลภายใน 60 วัน</w:t>
      </w:r>
    </w:p>
    <w:p>
      <w:pPr>
        <w:spacing w:before="0" w:after="8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26"/>
        </w:rPr>
        <w:t>อ้างอิง 21 CFR 1.234 — ต้องปรับปรุงภายใน 60 วันตามปฏิทินนับจากวันที่ข้อมูลเปลี่ยน ยกเว้นกรณีเปลี่ยนเจ้าของซึ่งมีวิธีดำเนินการต่างออกไป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798"/>
        <w:gridCol w:w="5587"/>
        <w:gridCol w:w="3593"/>
      </w:tblGrid>
      <w:tr>
        <w:trPr>
          <w:cantSplit w:val="true"/>
          <w:tblHeader w:val="true"/>
        </w:trPr>
        <w:tc>
          <w:tcPr>
            <w:tcW w:type="dxa" w:w="7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เฝ้าระวัง</w:t>
            </w:r>
          </w:p>
        </w:tc>
        <w:tc>
          <w:tcPr>
            <w:tcW w:type="dxa" w:w="5587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เหตุที่ทำให้ต้องปรับปรุง</w:t>
            </w:r>
          </w:p>
        </w:tc>
        <w:tc>
          <w:tcPr>
            <w:tcW w:type="dxa" w:w="3593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ผู้ที่ต้องแจ้งฝ่ายเอกสาร</w:t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55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เปลี่ยนที่อยู่ เบอร์โทร หรืออีเมลของสถานประกอบการ</w:t>
            </w:r>
          </w:p>
        </w:tc>
        <w:tc>
          <w:tcPr>
            <w:tcW w:type="dxa" w:w="35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55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เปลี่ยน U.S. agent หรือข้อมูลติดต่อของ U.S. agent</w:t>
            </w:r>
          </w:p>
        </w:tc>
        <w:tc>
          <w:tcPr>
            <w:tcW w:type="dxa" w:w="35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55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เพิ่มหรือลดหมวดผลิตภัณฑ์อาหาร</w:t>
            </w:r>
          </w:p>
        </w:tc>
        <w:tc>
          <w:tcPr>
            <w:tcW w:type="dxa" w:w="35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55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เปลี่ยนประเภทกิจกรรมที่ทำในสถานประกอบการ</w:t>
            </w:r>
          </w:p>
        </w:tc>
        <w:tc>
          <w:tcPr>
            <w:tcW w:type="dxa" w:w="35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55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เพิ่มหรือเลิกใช้ชื่อทางการค้า</w:t>
            </w:r>
          </w:p>
        </w:tc>
        <w:tc>
          <w:tcPr>
            <w:tcW w:type="dxa" w:w="35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55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เปลี่ยนผู้ดำเนินการหรือตัวแทนผู้รับผิดชอบ</w:t>
            </w:r>
          </w:p>
        </w:tc>
        <w:tc>
          <w:tcPr>
            <w:tcW w:type="dxa" w:w="35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</w:tbl>
    <w:p>
      <w:pPr>
        <w:spacing w:before="0" w:after="160"/>
      </w:pPr>
    </w:p>
    <w:p>
      <w:pPr>
        <w:spacing w:before="240" w:after="80"/>
      </w:pPr>
      <w:r>
        <w:rPr>
          <w:rFonts w:ascii="TH Sarabun New" w:hAnsi="TH Sarabun New" w:cs="TH Sarabun New" w:eastAsia="TH Sarabun New"/>
          <w:b/>
          <w:i w:val="0"/>
          <w:color w:val="17365D"/>
          <w:sz w:val="32"/>
        </w:rPr>
        <w:t>5.3 เหตุที่ต้องยกเลิกทะเบียนภายใน 60 วัน</w:t>
      </w:r>
    </w:p>
    <w:p>
      <w:pPr>
        <w:spacing w:before="0" w:after="8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26"/>
        </w:rPr>
        <w:t>อ้างอิง 21 CFR 1.235 — ปิดกิจการ เปลี่ยนเจ้าของ หรือเลิกจัดหาอาหารสำหรับการบริโภคในสหรัฐอเมริกา กรณีเปลี่ยนเจ้าของ เจ้าของเดิมต้องยกเลิกทะเบียน และเจ้าของใหม่ต้องจดทะเบียนใหม่</w:t>
      </w:r>
    </w:p>
    <w:p>
      <w:pPr>
        <w:spacing w:before="0" w:after="160"/>
      </w:pPr>
    </w:p>
    <w:p>
      <w:pPr>
        <w:spacing w:before="240" w:after="80"/>
      </w:pPr>
      <w:r>
        <w:rPr>
          <w:rFonts w:ascii="TH Sarabun New" w:hAnsi="TH Sarabun New" w:cs="TH Sarabun New" w:eastAsia="TH Sarabun New"/>
          <w:b/>
          <w:i w:val="0"/>
          <w:color w:val="17365D"/>
          <w:sz w:val="32"/>
        </w:rPr>
        <w:t>5.4 รอบถัดไป</w:t>
      </w:r>
    </w:p>
    <w:p>
      <w:pPr>
        <w:spacing w:before="0" w:after="8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26"/>
        </w:rPr>
        <w:t>รอบต่ออายุถัดไปคือ 1 ตุลาคม – 31 ธันวาคม ค.ศ. 2028 (พ.ศ. 2571) แนะนำให้ตั้งเตือนล่วงหน้าไว้ในปฏิทินของฝ่ายเอกสารตั้งแต่ตอนนี้</w:t>
      </w:r>
    </w:p>
    <w:p>
      <w:pPr>
        <w:spacing w:before="280" w:after="120"/>
      </w:pPr>
      <w:r>
        <w:rPr>
          <w:rFonts w:ascii="TH Sarabun New" w:hAnsi="TH Sarabun New" w:cs="TH Sarabun New" w:eastAsia="TH Sarabun New"/>
          <w:b/>
          <w:i w:val="0"/>
          <w:color w:val="17365D"/>
          <w:sz w:val="40"/>
        </w:rPr>
        <w:t>ส่วนที่ 6 · ต่อทะเบียนแล้ว ระบบพร้อมหรือยัง</w:t>
      </w:r>
    </w:p>
    <w:p>
      <w:pPr>
        <w:spacing w:before="0" w:after="8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26"/>
        </w:rPr>
        <w:t>ทะเบียนบอก FDA ว่าเราคือใครและอยู่ที่ไหน ส่วนที่บอกว่าระบบความปลอดภัยอาหารใช้ได้จริงคือกฎ Preventive Controls ซึ่งสำหรับอาหารคนคือ 21 CFR Part 117 และสำหรับอาหารสัตว์คือ 21 CFR Part 507 (Food Safety Plan อยู่ที่ข้อ 507.31 และ PCQI อยู่ที่ข้อ 507.53)</w:t>
      </w:r>
    </w:p>
    <w:p>
      <w:pPr>
        <w:spacing w:before="0" w:after="80"/>
      </w:pPr>
    </w:p>
    <w:p>
      <w:pPr>
        <w:spacing w:before="240" w:after="80"/>
      </w:pPr>
      <w:r>
        <w:rPr>
          <w:rFonts w:ascii="TH Sarabun New" w:hAnsi="TH Sarabun New" w:cs="TH Sarabun New" w:eastAsia="TH Sarabun New"/>
          <w:b/>
          <w:i w:val="0"/>
          <w:color w:val="17365D"/>
          <w:sz w:val="32"/>
        </w:rPr>
        <w:t>6.1 ตรวจก่อน — โรงงานเราอยู่ใต้ Part 117 หรือได้รับยกเว้น</w:t>
      </w:r>
    </w:p>
    <w:p>
      <w:pPr>
        <w:spacing w:before="0" w:after="8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26"/>
        </w:rPr>
        <w:t>อ้างอิง 21 CFR 117.5 ซึ่งยกเว้นการบังคับใช้หมวด C (รวมข้อ 117.126) และหมวด G สำหรับกิจกรรมบางประเภท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798"/>
        <w:gridCol w:w="2195"/>
        <w:gridCol w:w="6985"/>
      </w:tblGrid>
      <w:tr>
        <w:trPr>
          <w:cantSplit w:val="true"/>
          <w:tblHeader w:val="true"/>
        </w:trPr>
        <w:tc>
          <w:tcPr>
            <w:tcW w:type="dxa" w:w="7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ใช่</w:t>
            </w:r>
          </w:p>
        </w:tc>
        <w:tc>
          <w:tcPr>
            <w:tcW w:type="dxa" w:w="219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ข้อ</w:t>
            </w:r>
          </w:p>
        </w:tc>
        <w:tc>
          <w:tcPr>
            <w:tcW w:type="dxa" w:w="698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กิจกรรมที่ได้รับยกเว้นจากหมวด C และ G</w:t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2"/>
              </w:rPr>
              <w:t>117.5(b)</w:t>
            </w:r>
          </w:p>
        </w:tc>
        <w:tc>
          <w:tcPr>
            <w:tcW w:type="dxa" w:w="69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กิจกรรมที่อยู่ใต้ 21 CFR Part 123 สัตว์น้ำและผลิตภัณฑ์สัตว์น้ำ โดยอยู่ใต้บังคับและปฏิบัติตาม Part 123 จริง</w:t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2"/>
              </w:rPr>
              <w:t>117.5(c)</w:t>
            </w:r>
          </w:p>
        </w:tc>
        <w:tc>
          <w:tcPr>
            <w:tcW w:type="dxa" w:w="69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กิจกรรมที่อยู่ใต้ 21 CFR Part 120 ระบบ HACCP น้ำผลไม้ โดยอยู่ใต้บังคับและปฏิบัติตาม Part 120 จริง</w:t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2"/>
              </w:rPr>
              <w:t>117.5(d)</w:t>
            </w:r>
          </w:p>
        </w:tc>
        <w:tc>
          <w:tcPr>
            <w:tcW w:type="dxa" w:w="69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กิจกรรมที่อยู่ใต้ 21 CFR Part 113 อาหารกรดต่ำในภาชนะปิดสนิท เฉพาะส่วนอันตรายทางจุลชีววิทยา</w:t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2"/>
              </w:rPr>
              <w:t>117.5(e)</w:t>
            </w:r>
          </w:p>
        </w:tc>
        <w:tc>
          <w:tcPr>
            <w:tcW w:type="dxa" w:w="69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ผลิตภัณฑ์เสริมอาหารที่ปฏิบัติตาม 21 CFR Part 111 และมาตรา 761 ของกฎหมาย FD&amp;C เรื่องการรายงานเหตุการณ์ไม่พึงประสงค์ร้ายแรง</w:t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2"/>
              </w:rPr>
              <w:t>117.5(a)</w:t>
            </w:r>
          </w:p>
        </w:tc>
        <w:tc>
          <w:tcPr>
            <w:tcW w:type="dxa" w:w="69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เข้านิยาม qualified facility ซึ่งใช้ข้อกำหนดแบบปรับลดตามหมวด E แทน</w:t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2"/>
              </w:rPr>
              <w:t>117.5(i)/(j)</w:t>
            </w:r>
          </w:p>
        </w:tc>
        <w:tc>
          <w:tcPr>
            <w:tcW w:type="dxa" w:w="69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เครื่องดื่มแอลกอฮอล์ตามเงื่อนไขที่กำหนด และสถานที่ที่ทำเพียงการเก็บรักษาสินค้าเกษตรดิบที่ไม่ใช่ผักและผลไม้ เพื่อการกระจายสินค้าหรือแปรรูปต่อ</w:t>
            </w:r>
          </w:p>
        </w:tc>
      </w:tr>
    </w:tbl>
    <w:p>
      <w:pPr>
        <w:spacing w:before="0" w:after="120"/>
      </w:pPr>
    </w:p>
    <w:p>
      <w:pPr>
        <w:spacing w:before="0" w:after="160"/>
      </w:pPr>
      <w:r>
        <w:rPr>
          <w:rFonts w:ascii="TH Sarabun New" w:hAnsi="TH Sarabun New" w:cs="TH Sarabun New" w:eastAsia="TH Sarabun New"/>
          <w:b w:val="0"/>
          <w:i/>
          <w:color w:val="6B6B6B"/>
          <w:sz w:val="24"/>
        </w:rPr>
        <w:t>ถ้าติ๊กข้อใดข้อหนึ่งข้างต้นสำหรับกิจกรรมทั้งหมดของโรงงาน กิจกรรมส่วนนั้นไม่ต้องจัดทำ Food Safety Plan ตาม Part 117 และไม่ต้องมี PCQI ตาม Part 117 · ข้อควรระวังคือโรงงานที่มีทั้งสายที่ได้รับยกเว้นและสายที่ไม่ได้รับยกเว้น สายหลังยังคงอยู่ใต้ Part 117 · ถ้าไม่ได้ติ๊กข้อใดเลย ให้ทำตารางในข้อ 6.2 ต่อ</w:t>
      </w:r>
    </w:p>
    <w:p>
      <w:pPr>
        <w:spacing w:before="0" w:after="160"/>
      </w:pPr>
    </w:p>
    <w:p>
      <w:pPr>
        <w:spacing w:before="240" w:after="80"/>
      </w:pPr>
      <w:r>
        <w:rPr>
          <w:rFonts w:ascii="TH Sarabun New" w:hAnsi="TH Sarabun New" w:cs="TH Sarabun New" w:eastAsia="TH Sarabun New"/>
          <w:b/>
          <w:i w:val="0"/>
          <w:color w:val="17365D"/>
          <w:sz w:val="32"/>
        </w:rPr>
        <w:t>6.2 ถ้าอยู่ใต้ Part 117 — ตรวจความพร้อม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798"/>
        <w:gridCol w:w="5587"/>
        <w:gridCol w:w="3593"/>
      </w:tblGrid>
      <w:tr>
        <w:trPr>
          <w:cantSplit w:val="true"/>
          <w:tblHeader w:val="true"/>
        </w:trPr>
        <w:tc>
          <w:tcPr>
            <w:tcW w:type="dxa" w:w="7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มีแล้ว</w:t>
            </w:r>
          </w:p>
        </w:tc>
        <w:tc>
          <w:tcPr>
            <w:tcW w:type="dxa" w:w="5587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สิ่งที่กฎกำหนด</w:t>
            </w:r>
          </w:p>
        </w:tc>
        <w:tc>
          <w:tcPr>
            <w:tcW w:type="dxa" w:w="3593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หลักฐาน / เลขที่เอกสาร</w:t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55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มี Food Safety Plan เป็นลายลักษณ์อักษร (21 CFR 117.126)</w:t>
            </w:r>
          </w:p>
        </w:tc>
        <w:tc>
          <w:tcPr>
            <w:tcW w:type="dxa" w:w="35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55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การจัดทำแผนดำเนินการหรืออยู่ภายใต้การกำกับดูแลของ PCQI</w:t>
            </w:r>
          </w:p>
        </w:tc>
        <w:tc>
          <w:tcPr>
            <w:tcW w:type="dxa" w:w="35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55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มีการวิเคราะห์อันตรายเป็นลายลักษณ์อักษร</w:t>
            </w:r>
          </w:p>
        </w:tc>
        <w:tc>
          <w:tcPr>
            <w:tcW w:type="dxa" w:w="35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55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มีมาตรการควบคุมเชิงป้องกันเป็นลายลักษณ์อักษร</w:t>
            </w:r>
          </w:p>
        </w:tc>
        <w:tc>
          <w:tcPr>
            <w:tcW w:type="dxa" w:w="35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55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มีโปรแกรมห่วงโซ่อุปทาน แผนเรียกคืนสินค้า วิธีเฝ้าระวัง วิธีแก้ไข และวิธีทวนสอบ</w:t>
            </w:r>
          </w:p>
        </w:tc>
        <w:tc>
          <w:tcPr>
            <w:tcW w:type="dxa" w:w="35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55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ระบุตัวบุคคลที่ทำหน้าที่ PCQI ได้ชัดเจน</w:t>
            </w:r>
          </w:p>
        </w:tc>
        <w:tc>
          <w:tcPr>
            <w:tcW w:type="dxa" w:w="35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55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มีบันทึกการอบรม ระบุวันที่ ประเภทการอบรม และรายชื่อผู้ผ่านการอบรม (21 CFR 117.180(d))</w:t>
            </w:r>
          </w:p>
        </w:tc>
        <w:tc>
          <w:tcPr>
            <w:tcW w:type="dxa" w:w="35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</w:tbl>
    <w:p>
      <w:pPr>
        <w:spacing w:before="0" w:after="160"/>
      </w:pPr>
    </w:p>
    <w:p>
      <w:pPr>
        <w:spacing w:before="0" w:after="160"/>
      </w:pPr>
      <w:r>
        <w:rPr>
          <w:rFonts w:ascii="TH Sarabun New" w:hAnsi="TH Sarabun New" w:cs="TH Sarabun New" w:eastAsia="TH Sarabun New"/>
          <w:b w:val="0"/>
          <w:i/>
          <w:color w:val="6B6B6B"/>
          <w:sz w:val="24"/>
        </w:rPr>
        <w:t>21 CFR 117.180(c)(1) ระบุว่าการเป็น PCQI ทำได้สองทาง คือผ่านการอบรมที่มีเนื้อหาอย่างน้อยเทียบเท่า หลักสูตรมาตรฐานซึ่ง FDA รับรองว่าเพียงพอ หรือมีคุณสมบัติจากประสบการณ์การทำงาน PCQI จึงเป็นคุณสมบัติของบุคคลตามกฎหมาย ไม่ใช่ใบรับรองที่หน่วยงานใดออกให้ และ FDA ไม่ได้ออกใบรับรอง PCQI ให้บุคคลใด</w:t>
      </w:r>
    </w:p>
    <w:p>
      <w:pPr>
        <w:spacing w:before="0" w:after="20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3326"/>
        <w:gridCol w:w="3326"/>
        <w:gridCol w:w="3326"/>
      </w:tblGrid>
      <w:tr>
        <w:trPr>
          <w:cantSplit w:val="true"/>
          <w:cantSplit w:val="true"/>
        </w:trPr>
        <w:tc>
          <w:tcPr>
            <w:tcW w:type="dxa" w:w="3326"/>
          </w:tcPr>
          <w:p>
            <w:pPr>
              <w:spacing w:after="40"/>
            </w:pPr>
            <w:r/>
            <w:r>
              <w:rPr>
                <w:rFonts w:ascii="TH Sarabun New" w:hAnsi="TH Sarabun New" w:cs="TH Sarabun New" w:eastAsia="TH Sarabun New"/>
                <w:b/>
                <w:color w:val="17365D"/>
                <w:sz w:val="24"/>
              </w:rPr>
              <w:t>ผู้จัดทำ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ลงชื่อ ...........................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วันที่ ....................</w:t>
            </w:r>
          </w:p>
        </w:tc>
        <w:tc>
          <w:tcPr>
            <w:tcW w:type="dxa" w:w="3326"/>
          </w:tcPr>
          <w:p>
            <w:pPr>
              <w:spacing w:after="40"/>
            </w:pPr>
            <w:r/>
            <w:r>
              <w:rPr>
                <w:rFonts w:ascii="TH Sarabun New" w:hAnsi="TH Sarabun New" w:cs="TH Sarabun New" w:eastAsia="TH Sarabun New"/>
                <w:b/>
                <w:color w:val="17365D"/>
                <w:sz w:val="24"/>
              </w:rPr>
              <w:t>ผู้ทบทวน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ลงชื่อ ...........................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วันที่ ....................</w:t>
            </w:r>
          </w:p>
        </w:tc>
        <w:tc>
          <w:tcPr>
            <w:tcW w:type="dxa" w:w="3326"/>
          </w:tcPr>
          <w:p>
            <w:pPr>
              <w:spacing w:after="40"/>
            </w:pPr>
            <w:r/>
            <w:r>
              <w:rPr>
                <w:rFonts w:ascii="TH Sarabun New" w:hAnsi="TH Sarabun New" w:cs="TH Sarabun New" w:eastAsia="TH Sarabun New"/>
                <w:b/>
                <w:color w:val="17365D"/>
                <w:sz w:val="24"/>
              </w:rPr>
              <w:t>ผู้อนุมัติ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ลงชื่อ ...........................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วันที่ 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964" w:bottom="907" w:left="96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rFonts w:ascii="TH Sarabun New" w:hAnsi="TH Sarabun New" w:cs="TH Sarabun New" w:eastAsia="TH Sarabun New"/>
        <w:color w:val="8A8076"/>
        <w:sz w:val="18"/>
      </w:rPr>
      <w:t xml:space="preserve">FDA-CHK · เอกสารประกอบการเตรียมงาน ไม่ใช่คำแนะนำทางกฎหมาย   หน้า </w:t>
    </w:r>
    <w:r>
      <w:rPr>
        <w:rFonts w:ascii="TH Sarabun New" w:hAnsi="TH Sarabun New"/>
        <w:sz w:val="18"/>
      </w:rPr>
      <w:fldChar w:fldCharType="begin"/>
      <w:instrText xml:space="preserve"> PAGE </w:instrText>
      <w:fldChar w:fldCharType="end"/>
    </w:r>
    <w:r>
      <w:rPr>
        <w:rFonts w:ascii="TH Sarabun New" w:hAnsi="TH Sarabun New"/>
        <w:sz w:val="18"/>
      </w:rPr>
      <w:t xml:space="preserve"> / </w:t>
    </w:r>
    <w:r>
      <w:rPr>
        <w:rFonts w:ascii="TH Sarabun New" w:hAnsi="TH Sarabun New"/>
        <w:sz w:val="18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/>
      <w:jc w:val="left"/>
      <w:pBdr>
        <w:bottom w:val="single" w:sz="4" w:space="4" w:color="C9C3BA"/>
      </w:pBdr>
    </w:pPr>
    <w:r/>
    <w:r>
      <w:drawing>
        <wp:inline xmlns:a="http://schemas.openxmlformats.org/drawingml/2006/main" xmlns:pic="http://schemas.openxmlformats.org/drawingml/2006/picture">
          <wp:extent cx="192578" cy="223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p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2578" cy="2232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TH Sarabun New" w:hAnsi="TH Sarabun New" w:cs="TH Sarabun New" w:eastAsia="TH Sarabun New"/>
        <w:color w:val="8A8076"/>
        <w:sz w:val="18"/>
      </w:rPr>
      <w:t xml:space="preserve">   เช็กลิสต์จาก SP Solution Center · spsolutioncenter.com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TH Sarabun New" w:hAnsi="TH Sarabun New" w:cs="TH Sarabun New" w:eastAsia="TH Sarabun New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