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 w:before="0"/>
      </w:pPr>
      <w:r>
        <w:rPr>
          <w:rFonts w:ascii="Consolas" w:cs="Consolas" w:eastAsia="Consolas" w:hAnsi="Consolas"/>
          <w:b/>
          <w:bCs/>
          <w:color w:val="1F4E79"/>
          <w:sz w:val="16"/>
          <w:szCs w:val="16"/>
        </w:rPr>
        <w:t xml:space="preserve">ชุดแบบฟอร์มร่าง · แจกฟรี ไม่ต้องสมัครสมาชิก</w:t>
      </w:r>
    </w:p>
    <w:p>
      <w:pPr>
        <w:spacing w:after="50" w:before="0"/>
      </w:pPr>
      <w:r>
        <w:rPr>
          <w:rFonts w:ascii="Sarabun" w:cs="Sarabun" w:eastAsia="Sarabun" w:hAnsi="Sarabun"/>
          <w:b/>
          <w:bCs/>
          <w:sz w:val="32"/>
          <w:szCs w:val="32"/>
        </w:rPr>
        <w:t xml:space="preserve">Statement of Compliance สำหรับบรรจุภัณฑ์สัมผัสอาหาร</w:t>
      </w:r>
    </w:p>
    <w:p>
      <w:pPr>
        <w:spacing w:after="170" w:before="0"/>
      </w:pPr>
      <w:r>
        <w:rPr>
          <w:rFonts w:ascii="Sarabun" w:cs="Sarabun" w:eastAsia="Sarabun" w:hAnsi="Sarabun"/>
          <w:color w:val="555555"/>
          <w:sz w:val="18"/>
          <w:szCs w:val="18"/>
        </w:rPr>
        <w:t xml:space="preserve">ชุดแบบฟอร์ม 4 ฉบับ · SOC-01 ถึง SOC-04 · เรียบเรียงตามข้อกำหนด BRCGS Packaging Materials Issue 7 ข้อ 3.4.3 · ใช้คู่กับบทความ </w:t>
      </w:r>
      <w:r>
        <w:rPr>
          <w:rFonts w:ascii="Consolas" w:cs="Consolas" w:eastAsia="Consolas" w:hAnsi="Consolas"/>
          <w:color w:val="1F4E79"/>
          <w:sz w:val="16"/>
          <w:szCs w:val="16"/>
        </w:rPr>
        <w:t xml:space="preserve">spsolutioncenter.com/articles/brcgs-packaging-statement-of-compliance</w:t>
      </w:r>
    </w:p>
    <w:p>
      <w:pPr>
        <w:pStyle w:val="Heading2"/>
        <w:spacing w:after="100" w:before="240"/>
      </w:pPr>
      <w:r>
        <w:rPr>
          <w:rFonts w:ascii="Sarabun" w:cs="Sarabun" w:eastAsia="Sarabun" w:hAnsi="Sarabun"/>
          <w:b/>
          <w:bCs/>
          <w:color w:val="1F4E79"/>
          <w:sz w:val="26"/>
          <w:szCs w:val="26"/>
        </w:rPr>
        <w:t xml:space="preserve">วิธีใช้ชุดนี้</w:t>
      </w:r>
    </w:p>
    <w:p>
      <w:pPr>
        <w:spacing w:after="110" w:before="0"/>
      </w:pPr>
      <w:r>
        <w:rPr>
          <w:rFonts w:ascii="Sarabun" w:cs="Sarabun" w:eastAsia="Sarabun" w:hAnsi="Sarabun"/>
          <w:sz w:val="20"/>
          <w:szCs w:val="20"/>
        </w:rPr>
        <w:t xml:space="preserve">สี่ฉบับนี้ทำงานต่อกันเป็นวงจร </w:t>
      </w:r>
      <w:r>
        <w:rPr>
          <w:rFonts w:ascii="Sarabun" w:cs="Sarabun" w:eastAsia="Sarabun" w:hAnsi="Sarabun"/>
          <w:b/>
          <w:bCs/>
          <w:sz w:val="20"/>
          <w:szCs w:val="20"/>
        </w:rPr>
        <w:t xml:space="preserve">SOC-03 เก็บข้อมูลจากลูกค้าก่อน</w:t>
      </w:r>
      <w:r>
        <w:rPr>
          <w:rFonts w:ascii="Sarabun" w:cs="Sarabun" w:eastAsia="Sarabun" w:hAnsi="Sarabun"/>
          <w:sz w:val="20"/>
          <w:szCs w:val="20"/>
        </w:rPr>
        <w:t xml:space="preserve"> → </w:t>
      </w:r>
      <w:r>
        <w:rPr>
          <w:rFonts w:ascii="Sarabun" w:cs="Sarabun" w:eastAsia="Sarabun" w:hAnsi="Sarabun"/>
          <w:b/>
          <w:bCs/>
          <w:sz w:val="20"/>
          <w:szCs w:val="20"/>
        </w:rPr>
        <w:t xml:space="preserve">SOC-01 คือตัวเอกสารที่ออกให้ลูกค้า</w:t>
      </w:r>
      <w:r>
        <w:rPr>
          <w:rFonts w:ascii="Sarabun" w:cs="Sarabun" w:eastAsia="Sarabun" w:hAnsi="Sarabun"/>
          <w:sz w:val="20"/>
          <w:szCs w:val="20"/>
        </w:rPr>
        <w:t xml:space="preserve"> → </w:t>
      </w:r>
      <w:r>
        <w:rPr>
          <w:rFonts w:ascii="Sarabun" w:cs="Sarabun" w:eastAsia="Sarabun" w:hAnsi="Sarabun"/>
          <w:b/>
          <w:bCs/>
          <w:sz w:val="20"/>
          <w:szCs w:val="20"/>
        </w:rPr>
        <w:t xml:space="preserve">SOC-02 คุมทะเบียนและรอบทบทวน</w:t>
      </w:r>
      <w:r>
        <w:rPr>
          <w:rFonts w:ascii="Sarabun" w:cs="Sarabun" w:eastAsia="Sarabun" w:hAnsi="Sarabun"/>
          <w:sz w:val="20"/>
          <w:szCs w:val="20"/>
        </w:rPr>
        <w:t xml:space="preserve"> → </w:t>
      </w:r>
      <w:r>
        <w:rPr>
          <w:rFonts w:ascii="Sarabun" w:cs="Sarabun" w:eastAsia="Sarabun" w:hAnsi="Sarabun"/>
          <w:b/>
          <w:bCs/>
          <w:sz w:val="20"/>
          <w:szCs w:val="20"/>
        </w:rPr>
        <w:t xml:space="preserve">SOC-04 ใช้เมื่อมีคำกล่าวอ้างเรื่อง functional packaging</w:t>
      </w:r>
    </w:p>
    <w:p>
      <w:pPr>
        <w:spacing w:after="60" w:before="0"/>
      </w:pPr>
      <w:r>
        <w:rPr>
          <w:rFonts w:ascii="Sarabun" w:cs="Sarabun" w:eastAsia="Sarabun" w:hAnsi="Sarabun"/>
          <w:b/>
          <w:bCs/>
          <w:color w:val="B3261E"/>
          <w:sz w:val="20"/>
          <w:szCs w:val="20"/>
        </w:rPr>
        <w:t xml:space="preserve">ข้อควรรู้ก่อนใช้ · </w:t>
      </w:r>
      <w:r>
        <w:rPr>
          <w:rFonts w:ascii="Sarabun" w:cs="Sarabun" w:eastAsia="Sarabun" w:hAnsi="Sarabun"/>
          <w:sz w:val="19"/>
          <w:szCs w:val="19"/>
        </w:rPr>
        <w:t xml:space="preserve">ข้อ 3.4.3 กำหนดว่า SoC ต้อง</w:t>
      </w:r>
      <w:r>
        <w:rPr>
          <w:rFonts w:ascii="Sarabun" w:cs="Sarabun" w:eastAsia="Sarabun" w:hAnsi="Sarabun"/>
          <w:b/>
          <w:bCs/>
          <w:sz w:val="19"/>
          <w:szCs w:val="19"/>
        </w:rPr>
        <w:t xml:space="preserve">จัดทำและอนุมัติโดยผู้ที่มีความสามารถเหมาะสม</w:t>
      </w:r>
      <w:r>
        <w:rPr>
          <w:rFonts w:ascii="Sarabun" w:cs="Sarabun" w:eastAsia="Sarabun" w:hAnsi="Sarabun"/>
          <w:sz w:val="19"/>
          <w:szCs w:val="19"/>
        </w:rPr>
        <w:t xml:space="preserve"> แบบฟอร์มนี้เป็นเพียงโครงร่าง เนื้อหาทางเทคนิคและการยืนยันความสอดคล้องทางกฎหมายต้องมาจากผู้ที่มีความรู้จริงในองค์กรของคุณ ไม่ใช่การกรอกช่องว่างให้เต็ม</w:t>
      </w:r>
    </w:p>
    <w:p>
      <w:r>
        <w:br w:type="page"/>
      </w:r>
    </w:p>
    <w:p>
      <w:pPr>
        <w:spacing w:after="30" w:before="0"/>
      </w:pPr>
      <w:r>
        <w:rPr>
          <w:rFonts w:ascii="Consolas" w:cs="Consolas" w:eastAsia="Consolas" w:hAnsi="Consolas"/>
          <w:b/>
          <w:bCs/>
          <w:color w:val="1F4E79"/>
          <w:sz w:val="18"/>
          <w:szCs w:val="18"/>
        </w:rPr>
        <w:t xml:space="preserve">SOC-01</w:t>
      </w:r>
    </w:p>
    <w:p>
      <w:pPr>
        <w:spacing w:after="40" w:before="0"/>
      </w:pPr>
      <w:r>
        <w:rPr>
          <w:rFonts w:ascii="Sarabun" w:cs="Sarabun" w:eastAsia="Sarabun" w:hAnsi="Sarabun"/>
          <w:b/>
          <w:bCs/>
          <w:sz w:val="28"/>
          <w:szCs w:val="28"/>
        </w:rPr>
        <w:t xml:space="preserve">หนังสือรับรองความสอดคล้อง (Statement of Compliance)</w:t>
      </w:r>
    </w:p>
    <w:p>
      <w:pPr>
        <w:spacing w:after="130" w:before="0"/>
      </w:pPr>
      <w:r>
        <w:rPr>
          <w:rFonts w:ascii="Sarabun" w:cs="Sarabun" w:eastAsia="Sarabun" w:hAnsi="Sarabun"/>
          <w:color w:val="555555"/>
          <w:sz w:val="18"/>
          <w:szCs w:val="18"/>
        </w:rPr>
        <w:t xml:space="preserve">สำหรับบรรจุภัณฑ์ที่ผลิตเพื่อสัมผัสโดยตรงกับอาหาร เครื่องดื่ม อาหารสัตว์ หรือการใช้งานที่อ่อนไหวด้านสุขอนามัย</w:t>
      </w:r>
    </w:p>
    <w:p>
      <w:pPr>
        <w:spacing w:after="70" w:before="180"/>
      </w:pPr>
      <w:r>
        <w:rPr>
          <w:rFonts w:ascii="Sarabun" w:cs="Sarabun" w:eastAsia="Sarabun" w:hAnsi="Sarabun"/>
          <w:b/>
          <w:bCs/>
          <w:color w:val="1F4E79"/>
          <w:sz w:val="22"/>
          <w:szCs w:val="22"/>
        </w:rPr>
        <w:t xml:space="preserve">ส่วนที่ 1 — ผู้ออกเอกสารและผู้รับ</w:t>
      </w:r>
    </w:p>
    <w:tbl>
      <w:tblPr>
        <w:tblW w:type="dxa" w:w="96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400"/>
        <w:gridCol w:w="6200"/>
      </w:tblGrid>
      <w:tr>
        <w:tc>
          <w:tcPr>
            <w:tcW w:type="dxa" w:w="3400"/>
            <w:shd w:fill="EAF0F8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/>
                <w:bCs/>
                <w:color w:val="1F4E79"/>
                <w:sz w:val="19"/>
                <w:szCs w:val="19"/>
              </w:rPr>
              <w:t xml:space="preserve">ชื่อและที่อยู่ผู้ออกเอกสาร</w:t>
            </w:r>
          </w:p>
        </w:tc>
        <w:tc>
          <w:tcPr>
            <w:tcW w:type="dxa" w:w="62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3400"/>
            <w:shd w:fill="EAF0F8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/>
                <w:bCs/>
                <w:color w:val="1F4E79"/>
                <w:sz w:val="19"/>
                <w:szCs w:val="19"/>
              </w:rPr>
              <w:t xml:space="preserve">ชื่อและที่อยู่ลูกค้า / ผู้รับ</w:t>
            </w:r>
          </w:p>
        </w:tc>
        <w:tc>
          <w:tcPr>
            <w:tcW w:type="dxa" w:w="62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3400"/>
            <w:shd w:fill="EAF0F8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/>
                <w:bCs/>
                <w:color w:val="1F4E79"/>
                <w:sz w:val="19"/>
                <w:szCs w:val="19"/>
              </w:rPr>
              <w:t xml:space="preserve">เลขที่เอกสาร / เวอร์ชัน</w:t>
            </w:r>
          </w:p>
        </w:tc>
        <w:tc>
          <w:tcPr>
            <w:tcW w:type="dxa" w:w="62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3400"/>
            <w:shd w:fill="EAF0F8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/>
                <w:bCs/>
                <w:color w:val="1F4E79"/>
                <w:sz w:val="19"/>
                <w:szCs w:val="19"/>
              </w:rPr>
              <w:t xml:space="preserve">วันที่ออกเอกสาร  (ข้อกำหนดบังคับ)</w:t>
            </w:r>
          </w:p>
        </w:tc>
        <w:tc>
          <w:tcPr>
            <w:tcW w:type="dxa" w:w="62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3400"/>
            <w:shd w:fill="EAF0F8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/>
                <w:bCs/>
                <w:color w:val="1F4E79"/>
                <w:sz w:val="19"/>
                <w:szCs w:val="19"/>
              </w:rPr>
              <w:t xml:space="preserve">วันสิ้นอายุเอกสาร  (ถ้ามี)</w:t>
            </w:r>
          </w:p>
        </w:tc>
        <w:tc>
          <w:tcPr>
            <w:tcW w:type="dxa" w:w="62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color w:val="999999"/>
                <w:sz w:val="18"/>
                <w:szCs w:val="18"/>
              </w:rPr>
              <w:t xml:space="preserve"> </w:t>
            </w:r>
          </w:p>
        </w:tc>
      </w:tr>
    </w:tbl>
    <w:p>
      <w:pPr>
        <w:spacing w:after="70" w:before="180"/>
      </w:pPr>
      <w:r>
        <w:rPr>
          <w:rFonts w:ascii="Sarabun" w:cs="Sarabun" w:eastAsia="Sarabun" w:hAnsi="Sarabun"/>
          <w:b/>
          <w:bCs/>
          <w:color w:val="1F4E79"/>
          <w:sz w:val="22"/>
          <w:szCs w:val="22"/>
        </w:rPr>
        <w:t xml:space="preserve">ส่วนที่ 2 — สินค้าที่ครอบคลุม</w:t>
      </w:r>
    </w:p>
    <w:p>
      <w:pPr>
        <w:spacing w:after="70" w:before="0"/>
      </w:pPr>
      <w:r>
        <w:rPr>
          <w:rFonts w:ascii="Sarabun" w:cs="Sarabun" w:eastAsia="Sarabun" w:hAnsi="Sarabun"/>
          <w:sz w:val="18"/>
          <w:szCs w:val="18"/>
        </w:rPr>
        <w:t xml:space="preserve">กรณีสินค้าหลายรายการที่ใช้วัตถุดิบเดียวกันและมีการใช้งานทั่วไปเหมือนกัน </w:t>
      </w:r>
      <w:r>
        <w:rPr>
          <w:rFonts w:ascii="Sarabun" w:cs="Sarabun" w:eastAsia="Sarabun" w:hAnsi="Sarabun"/>
          <w:b/>
          <w:bCs/>
          <w:sz w:val="18"/>
          <w:szCs w:val="18"/>
        </w:rPr>
        <w:t xml:space="preserve">ออกเป็นเอกสารฉบับเดียวแบบครอบคลุมกลุ่มสินค้าได้</w:t>
      </w:r>
      <w:r>
        <w:rPr>
          <w:rFonts w:ascii="Sarabun" w:cs="Sarabun" w:eastAsia="Sarabun" w:hAnsi="Sarabun"/>
          <w:sz w:val="18"/>
          <w:szCs w:val="18"/>
        </w:rPr>
        <w:t xml:space="preserve"> ตามที่คู่มือตีความระบุ</w:t>
      </w:r>
    </w:p>
    <w:tbl>
      <w:tblPr>
        <w:tblW w:type="dxa" w:w="96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0"/>
        <w:gridCol w:w="4200"/>
        <w:gridCol w:w="2400"/>
      </w:tblGrid>
      <w:tr>
        <w:trPr>
          <w:tblHeader/>
        </w:trPr>
        <w:tc>
          <w:tcPr>
            <w:tcW w:type="dxa" w:w="300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9"/>
                <w:szCs w:val="19"/>
              </w:rPr>
              <w:t xml:space="preserve">ชื่อ / รหัสสินค้า</w:t>
            </w:r>
          </w:p>
        </w:tc>
        <w:tc>
          <w:tcPr>
            <w:tcW w:type="dxa" w:w="420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9"/>
                <w:szCs w:val="19"/>
              </w:rPr>
              <w:t xml:space="preserve">คำอธิบายสินค้า</w:t>
            </w:r>
          </w:p>
        </w:tc>
        <w:tc>
          <w:tcPr>
            <w:tcW w:type="dxa" w:w="240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9"/>
                <w:szCs w:val="19"/>
              </w:rPr>
              <w:t xml:space="preserve">รหัสล็อตหรือช่วงที่ครอบคลุม</w:t>
            </w:r>
          </w:p>
        </w:tc>
      </w:tr>
      <w:tr>
        <w:tc>
          <w:tcPr>
            <w:tcW w:type="dxa" w:w="300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42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24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300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42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24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300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42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24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300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42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24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</w:tbl>
    <w:p>
      <w:pPr>
        <w:spacing w:after="70" w:before="180"/>
      </w:pPr>
      <w:r>
        <w:rPr>
          <w:rFonts w:ascii="Sarabun" w:cs="Sarabun" w:eastAsia="Sarabun" w:hAnsi="Sarabun"/>
          <w:b/>
          <w:bCs/>
          <w:color w:val="1F4E79"/>
          <w:sz w:val="22"/>
          <w:szCs w:val="22"/>
        </w:rPr>
        <w:t xml:space="preserve">ส่วนที่ 3 — ลักษณะของวัสดุที่ใช้ผลิต  (ข้อกำหนดบังคับ)</w:t>
      </w:r>
    </w:p>
    <w:tbl>
      <w:tblPr>
        <w:tblW w:type="dxa" w:w="96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100"/>
        <w:gridCol w:w="2700"/>
        <w:gridCol w:w="2700"/>
        <w:gridCol w:w="2100"/>
      </w:tblGrid>
      <w:tr>
        <w:trPr>
          <w:tblHeader/>
        </w:trPr>
        <w:tc>
          <w:tcPr>
            <w:tcW w:type="dxa" w:w="210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9"/>
                <w:szCs w:val="19"/>
              </w:rPr>
              <w:t xml:space="preserve">ชั้น / ส่วนประกอบ</w:t>
            </w:r>
          </w:p>
        </w:tc>
        <w:tc>
          <w:tcPr>
            <w:tcW w:type="dxa" w:w="270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9"/>
                <w:szCs w:val="19"/>
              </w:rPr>
              <w:t xml:space="preserve">ชนิดวัสดุ</w:t>
            </w:r>
          </w:p>
        </w:tc>
        <w:tc>
          <w:tcPr>
            <w:tcW w:type="dxa" w:w="270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9"/>
                <w:szCs w:val="19"/>
              </w:rPr>
              <w:t xml:space="preserve">ผู้ผลิตวัสดุ</w:t>
            </w:r>
          </w:p>
        </w:tc>
        <w:tc>
          <w:tcPr>
            <w:tcW w:type="dxa" w:w="210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9"/>
                <w:szCs w:val="19"/>
              </w:rPr>
              <w:t xml:space="preserve">สัมผัสอาหารโดยตรงหรือไม่</w:t>
            </w:r>
          </w:p>
        </w:tc>
      </w:tr>
      <w:tr>
        <w:tc>
          <w:tcPr>
            <w:tcW w:type="dxa" w:w="210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27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27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2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210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27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27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2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210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27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27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2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210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27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27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2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</w:tbl>
    <w:p>
      <w:pPr>
        <w:spacing w:after="60" w:before="0"/>
      </w:pPr>
      <w:r>
        <w:rPr>
          <w:rFonts w:ascii="Sarabun" w:cs="Sarabun" w:eastAsia="Sarabun" w:hAnsi="Sarabun"/>
          <w:color w:val="555555"/>
          <w:sz w:val="18"/>
          <w:szCs w:val="18"/>
        </w:rPr>
        <w:t xml:space="preserve">ระบุให้ครบทุกชั้นที่ประกอบเป็นสินค้า รวมหมึก กาว สารเคลือบ และวาร์นิช ไม่ใช่เฉพาะชั้นที่สัมผัสอาหาร</w:t>
      </w:r>
    </w:p>
    <w:p>
      <w:pPr>
        <w:spacing w:after="70" w:before="180"/>
      </w:pPr>
      <w:r>
        <w:rPr>
          <w:rFonts w:ascii="Sarabun" w:cs="Sarabun" w:eastAsia="Sarabun" w:hAnsi="Sarabun"/>
          <w:b/>
          <w:bCs/>
          <w:color w:val="1F4E79"/>
          <w:sz w:val="22"/>
          <w:szCs w:val="22"/>
        </w:rPr>
        <w:t xml:space="preserve">ส่วนที่ 4 — วัสดุรีไซเคิลหลังการบริโภค  (ข้อกำหนดบังคับ)</w:t>
      </w:r>
    </w:p>
    <w:tbl>
      <w:tblPr>
        <w:tblW w:type="dxa" w:w="96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400"/>
        <w:gridCol w:w="6200"/>
      </w:tblGrid>
      <w:tr>
        <w:tc>
          <w:tcPr>
            <w:tcW w:type="dxa" w:w="3400"/>
            <w:shd w:fill="EAF0F8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/>
                <w:bCs/>
                <w:color w:val="1F4E79"/>
                <w:sz w:val="19"/>
                <w:szCs w:val="19"/>
              </w:rPr>
              <w:t xml:space="preserve">มีวัสดุรีไซเคิลหลังการบริโภคหรือไม่</w:t>
            </w:r>
          </w:p>
        </w:tc>
        <w:tc>
          <w:tcPr>
            <w:tcW w:type="dxa" w:w="62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color w:val="999999"/>
                <w:sz w:val="18"/>
                <w:szCs w:val="18"/>
              </w:rPr>
              <w:t xml:space="preserve">☐ ไม่มี      ☐ มี — ระบุรายละเอียดด้านล่าง</w:t>
            </w:r>
          </w:p>
        </w:tc>
      </w:tr>
      <w:tr>
        <w:tc>
          <w:tcPr>
            <w:tcW w:type="dxa" w:w="3400"/>
            <w:shd w:fill="EAF0F8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/>
                <w:bCs/>
                <w:color w:val="1F4E79"/>
                <w:sz w:val="19"/>
                <w:szCs w:val="19"/>
              </w:rPr>
              <w:t xml:space="preserve">ชนิดและสัดส่วนโดยประมาณ</w:t>
            </w:r>
          </w:p>
        </w:tc>
        <w:tc>
          <w:tcPr>
            <w:tcW w:type="dxa" w:w="62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3400"/>
            <w:shd w:fill="EAF0F8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/>
                <w:bCs/>
                <w:color w:val="1F4E79"/>
                <w:sz w:val="19"/>
                <w:szCs w:val="19"/>
              </w:rPr>
              <w:t xml:space="preserve">แหล่งที่มาและกระบวนการรีไซเคิล</w:t>
            </w:r>
          </w:p>
        </w:tc>
        <w:tc>
          <w:tcPr>
            <w:tcW w:type="dxa" w:w="62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3400"/>
            <w:shd w:fill="EAF0F8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/>
                <w:bCs/>
                <w:color w:val="1F4E79"/>
                <w:sz w:val="19"/>
                <w:szCs w:val="19"/>
              </w:rPr>
              <w:t xml:space="preserve">เอกสารรับรองให้ใช้กับสัมผัสอาหาร</w:t>
            </w:r>
          </w:p>
        </w:tc>
        <w:tc>
          <w:tcPr>
            <w:tcW w:type="dxa" w:w="62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color w:val="999999"/>
                <w:sz w:val="18"/>
                <w:szCs w:val="18"/>
              </w:rPr>
              <w:t xml:space="preserve"> </w:t>
            </w:r>
          </w:p>
        </w:tc>
      </w:tr>
    </w:tbl>
    <w:p>
      <w:pPr>
        <w:spacing w:after="60" w:before="0"/>
      </w:pPr>
      <w:r>
        <w:rPr>
          <w:rFonts w:ascii="Sarabun" w:cs="Sarabun" w:eastAsia="Sarabun" w:hAnsi="Sarabun"/>
          <w:sz w:val="18"/>
          <w:szCs w:val="18"/>
        </w:rPr>
        <w:t xml:space="preserve">ข้อกำหนดให้ระบุ</w:t>
      </w:r>
      <w:r>
        <w:rPr>
          <w:rFonts w:ascii="Sarabun" w:cs="Sarabun" w:eastAsia="Sarabun" w:hAnsi="Sarabun"/>
          <w:b/>
          <w:bCs/>
          <w:sz w:val="18"/>
          <w:szCs w:val="18"/>
        </w:rPr>
        <w:t xml:space="preserve">การมีอยู่ของวัสดุรีไซเคิลหลังการบริโภค</w:t>
      </w:r>
      <w:r>
        <w:rPr>
          <w:rFonts w:ascii="Sarabun" w:cs="Sarabun" w:eastAsia="Sarabun" w:hAnsi="Sarabun"/>
          <w:sz w:val="18"/>
          <w:szCs w:val="18"/>
        </w:rPr>
        <w:t xml:space="preserve"> — กรณีไม่มี ให้เขียนว่าไม่มี อย่าเว้นว่าง เพราะการเว้นว่างตอบข้อกำหนดไม่ได้</w:t>
      </w:r>
    </w:p>
    <w:p>
      <w:r>
        <w:br w:type="page"/>
      </w:r>
    </w:p>
    <w:p>
      <w:pPr>
        <w:spacing w:after="70" w:before="180"/>
      </w:pPr>
      <w:r>
        <w:rPr>
          <w:rFonts w:ascii="Sarabun" w:cs="Sarabun" w:eastAsia="Sarabun" w:hAnsi="Sarabun"/>
          <w:b/>
          <w:bCs/>
          <w:color w:val="1F4E79"/>
          <w:sz w:val="22"/>
          <w:szCs w:val="22"/>
        </w:rPr>
        <w:t xml:space="preserve">ส่วนที่ 5 — การยืนยันความสอดคล้องทางกฎหมาย  (ข้อกำหนดบังคับ)</w:t>
      </w:r>
    </w:p>
    <w:tbl>
      <w:tblPr>
        <w:tblW w:type="dxa" w:w="96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600"/>
        <w:gridCol w:w="4600"/>
        <w:gridCol w:w="2400"/>
      </w:tblGrid>
      <w:tr>
        <w:trPr>
          <w:tblHeader/>
        </w:trPr>
        <w:tc>
          <w:tcPr>
            <w:tcW w:type="dxa" w:w="260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9"/>
                <w:szCs w:val="19"/>
              </w:rPr>
              <w:t xml:space="preserve">ประเทศ</w:t>
            </w:r>
          </w:p>
        </w:tc>
        <w:tc>
          <w:tcPr>
            <w:tcW w:type="dxa" w:w="460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9"/>
                <w:szCs w:val="19"/>
              </w:rPr>
              <w:t xml:space="preserve">กฎหมาย / ข้อกำหนดที่อ้างอิง</w:t>
            </w:r>
          </w:p>
        </w:tc>
        <w:tc>
          <w:tcPr>
            <w:tcW w:type="dxa" w:w="240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9"/>
                <w:szCs w:val="19"/>
              </w:rPr>
              <w:t xml:space="preserve">สถานะ</w:t>
            </w:r>
          </w:p>
        </w:tc>
      </w:tr>
      <w:tr>
        <w:tc>
          <w:tcPr>
            <w:tcW w:type="dxa" w:w="260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/>
                <w:bCs/>
                <w:sz w:val="18"/>
                <w:szCs w:val="18"/>
              </w:rPr>
              <w:t xml:space="preserve">ประเทศผู้ผลิต</w:t>
            </w:r>
          </w:p>
        </w:tc>
        <w:tc>
          <w:tcPr>
            <w:tcW w:type="dxa" w:w="46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24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260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/>
                <w:bCs/>
                <w:sz w:val="18"/>
                <w:szCs w:val="18"/>
              </w:rPr>
              <w:t xml:space="preserve">ประเทศที่นำไปใช้  (เท่าที่ทราบ)</w:t>
            </w:r>
          </w:p>
        </w:tc>
        <w:tc>
          <w:tcPr>
            <w:tcW w:type="dxa" w:w="46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24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260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/>
                <w:bCs/>
                <w:sz w:val="18"/>
                <w:szCs w:val="18"/>
              </w:rPr>
              <w:t xml:space="preserve">อื่น ๆ</w:t>
            </w:r>
          </w:p>
        </w:tc>
        <w:tc>
          <w:tcPr>
            <w:tcW w:type="dxa" w:w="46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24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</w:tbl>
    <w:p>
      <w:pPr>
        <w:spacing w:after="70" w:before="0"/>
      </w:pPr>
      <w:r>
        <w:rPr>
          <w:rFonts w:ascii="Sarabun" w:cs="Sarabun" w:eastAsia="Sarabun" w:hAnsi="Sarabun"/>
          <w:sz w:val="18"/>
          <w:szCs w:val="18"/>
        </w:rPr>
        <w:t xml:space="preserve">ข้อกำหนดใช้คำว่า </w:t>
      </w:r>
      <w:r>
        <w:rPr>
          <w:rFonts w:ascii="Sarabun" w:cs="Sarabun" w:eastAsia="Sarabun" w:hAnsi="Sarabun"/>
          <w:b/>
          <w:bCs/>
          <w:sz w:val="18"/>
          <w:szCs w:val="18"/>
        </w:rPr>
        <w:t xml:space="preserve">“ประเทศที่นำไปใช้ เท่าที่ทราบ”</w:t>
      </w:r>
      <w:r>
        <w:rPr>
          <w:rFonts w:ascii="Sarabun" w:cs="Sarabun" w:eastAsia="Sarabun" w:hAnsi="Sarabun"/>
          <w:sz w:val="18"/>
          <w:szCs w:val="18"/>
        </w:rPr>
        <w:t xml:space="preserve"> — ถ้าลูกค้าไม่ได้แจ้งปลายทาง ให้บันทึกว่าไม่ได้รับแจ้ง แล้วจำกัดขอบเขตการรับรองไว้เฉพาะประเทศผู้ผลิต</w:t>
      </w:r>
    </w:p>
    <w:p>
      <w:pPr>
        <w:spacing w:after="50" w:before="0"/>
      </w:pPr>
      <w:r>
        <w:rPr>
          <w:rFonts w:ascii="Sarabun" w:cs="Sarabun" w:eastAsia="Sarabun" w:hAnsi="Sarabun"/>
          <w:b/>
          <w:bCs/>
          <w:sz w:val="19"/>
          <w:szCs w:val="19"/>
        </w:rPr>
        <w:t xml:space="preserve">ตัวอย่างกฎหมายที่มักถูกอ้างถึง</w:t>
      </w:r>
    </w:p>
    <w:p>
      <w:pPr>
        <w:pStyle w:val="ListParagraph"/>
        <w:numPr>
          <w:ilvl w:val="0"/>
          <w:numId w:val="2"/>
        </w:numPr>
        <w:spacing w:after="70"/>
      </w:pPr>
      <w:r>
        <w:rPr>
          <w:rFonts w:ascii="Sarabun" w:cs="Sarabun" w:eastAsia="Sarabun" w:hAnsi="Sarabun"/>
          <w:b/>
          <w:bCs/>
          <w:sz w:val="20"/>
          <w:szCs w:val="20"/>
        </w:rPr>
        <w:t xml:space="preserve">ไทย</w:t>
      </w:r>
      <w:r>
        <w:rPr>
          <w:rFonts w:ascii="Sarabun" w:cs="Sarabun" w:eastAsia="Sarabun" w:hAnsi="Sarabun"/>
          <w:sz w:val="19"/>
          <w:szCs w:val="19"/>
        </w:rPr>
        <w:t xml:space="preserve"> — ประกาศกระทรวงสาธารณสุข (ฉบับที่ 435) พ.ศ. 2565 เรื่อง กำหนดคุณภาพหรือมาตรฐานของภาชนะบรรจุที่ทำจากพลาสติก</w:t>
      </w:r>
    </w:p>
    <w:p>
      <w:pPr>
        <w:pStyle w:val="ListParagraph"/>
        <w:numPr>
          <w:ilvl w:val="0"/>
          <w:numId w:val="2"/>
        </w:numPr>
        <w:spacing w:after="70"/>
      </w:pPr>
      <w:r>
        <w:rPr>
          <w:rFonts w:ascii="Sarabun" w:cs="Sarabun" w:eastAsia="Sarabun" w:hAnsi="Sarabun"/>
          <w:b/>
          <w:bCs/>
          <w:sz w:val="20"/>
          <w:szCs w:val="20"/>
        </w:rPr>
        <w:t xml:space="preserve">สหภาพยุโรป</w:t>
      </w:r>
      <w:r>
        <w:rPr>
          <w:rFonts w:ascii="Sarabun" w:cs="Sarabun" w:eastAsia="Sarabun" w:hAnsi="Sarabun"/>
          <w:sz w:val="19"/>
          <w:szCs w:val="19"/>
        </w:rPr>
        <w:t xml:space="preserve"> — Regulation (EC) No 1935/2004 (กรอบทั่วไป) และสำหรับพลาสติกคือ Regulation (EU) No 10/2011 ซึ่งกำหนดรายการข้อมูลของ Declaration of Compliance ไว้ใน Annex IV</w:t>
      </w:r>
    </w:p>
    <w:p>
      <w:pPr>
        <w:pStyle w:val="ListParagraph"/>
        <w:numPr>
          <w:ilvl w:val="0"/>
          <w:numId w:val="2"/>
        </w:numPr>
        <w:spacing w:after="70"/>
      </w:pPr>
      <w:r>
        <w:rPr>
          <w:rFonts w:ascii="Sarabun" w:cs="Sarabun" w:eastAsia="Sarabun" w:hAnsi="Sarabun"/>
          <w:b/>
          <w:bCs/>
          <w:sz w:val="20"/>
          <w:szCs w:val="20"/>
        </w:rPr>
        <w:t xml:space="preserve">สหรัฐอเมริกา</w:t>
      </w:r>
      <w:r>
        <w:rPr>
          <w:rFonts w:ascii="Sarabun" w:cs="Sarabun" w:eastAsia="Sarabun" w:hAnsi="Sarabun"/>
          <w:sz w:val="19"/>
          <w:szCs w:val="19"/>
        </w:rPr>
        <w:t xml:space="preserve"> — 21 CFR สำหรับวัสดุสัมผัสอาหาร และการแจ้ง Food Contact Notification เมื่อเข้าเงื่อนไข</w:t>
      </w:r>
    </w:p>
    <w:p>
      <w:pPr>
        <w:spacing w:after="70" w:before="0"/>
      </w:pPr>
      <w:r>
        <w:rPr>
          <w:rFonts w:ascii="Sarabun" w:cs="Sarabun" w:eastAsia="Sarabun" w:hAnsi="Sarabun"/>
          <w:color w:val="555555"/>
          <w:sz w:val="18"/>
          <w:szCs w:val="18"/>
        </w:rPr>
        <w:t xml:space="preserve">รายการนี้เป็นเพียงตัวอย่างเพื่อการอ้างอิง </w:t>
      </w:r>
      <w:r>
        <w:rPr>
          <w:rFonts w:ascii="Sarabun" w:cs="Sarabun" w:eastAsia="Sarabun" w:hAnsi="Sarabun"/>
          <w:b/>
          <w:bCs/>
          <w:color w:val="555555"/>
          <w:sz w:val="18"/>
          <w:szCs w:val="18"/>
        </w:rPr>
        <w:t xml:space="preserve">ให้ตรวจสอบฉบับปัจจุบันและขอบเขตการบังคับใช้กับผู้เชี่ยวชาญด้านกฎหมายของแต่ละประเทศเสมอ</w:t>
      </w:r>
    </w:p>
    <w:p>
      <w:pPr>
        <w:spacing w:after="70" w:before="180"/>
      </w:pPr>
      <w:r>
        <w:rPr>
          <w:rFonts w:ascii="Sarabun" w:cs="Sarabun" w:eastAsia="Sarabun" w:hAnsi="Sarabun"/>
          <w:b/>
          <w:bCs/>
          <w:color w:val="1F4E79"/>
          <w:sz w:val="22"/>
          <w:szCs w:val="22"/>
        </w:rPr>
        <w:t xml:space="preserve">ส่วนที่ 6 — ข้อจำกัดในการใช้งาน  (ข้อกำหนดบังคับ)</w:t>
      </w:r>
    </w:p>
    <w:tbl>
      <w:tblPr>
        <w:tblW w:type="dxa" w:w="96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400"/>
        <w:gridCol w:w="6200"/>
      </w:tblGrid>
      <w:tr>
        <w:tc>
          <w:tcPr>
            <w:tcW w:type="dxa" w:w="3400"/>
            <w:shd w:fill="EAF0F8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/>
                <w:bCs/>
                <w:color w:val="1F4E79"/>
                <w:sz w:val="19"/>
                <w:szCs w:val="19"/>
              </w:rPr>
              <w:t xml:space="preserve">ประเภทอาหารที่ใช้ได้</w:t>
            </w:r>
          </w:p>
        </w:tc>
        <w:tc>
          <w:tcPr>
            <w:tcW w:type="dxa" w:w="62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3400"/>
            <w:shd w:fill="EAF0F8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/>
                <w:bCs/>
                <w:color w:val="1F4E79"/>
                <w:sz w:val="19"/>
                <w:szCs w:val="19"/>
              </w:rPr>
              <w:t xml:space="preserve">ประเภทอาหารที่ห้ามใช้</w:t>
            </w:r>
          </w:p>
        </w:tc>
        <w:tc>
          <w:tcPr>
            <w:tcW w:type="dxa" w:w="62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3400"/>
            <w:shd w:fill="EAF0F8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/>
                <w:bCs/>
                <w:color w:val="1F4E79"/>
                <w:sz w:val="19"/>
                <w:szCs w:val="19"/>
              </w:rPr>
              <w:t xml:space="preserve">ช่วงอุณหภูมิที่ใช้ได้</w:t>
            </w:r>
          </w:p>
        </w:tc>
        <w:tc>
          <w:tcPr>
            <w:tcW w:type="dxa" w:w="62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3400"/>
            <w:shd w:fill="EAF0F8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/>
                <w:bCs/>
                <w:color w:val="1F4E79"/>
                <w:sz w:val="19"/>
                <w:szCs w:val="19"/>
              </w:rPr>
              <w:t xml:space="preserve">เวลาสัมผัสสูงสุด</w:t>
            </w:r>
          </w:p>
        </w:tc>
        <w:tc>
          <w:tcPr>
            <w:tcW w:type="dxa" w:w="62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3400"/>
            <w:shd w:fill="EAF0F8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/>
                <w:bCs/>
                <w:color w:val="1F4E79"/>
                <w:sz w:val="19"/>
                <w:szCs w:val="19"/>
              </w:rPr>
              <w:t xml:space="preserve">วิธีแปรรูปที่ใช้ได้  เช่น ฆ่าเชื้อ ไมโครเวฟ แช่แข็ง</w:t>
            </w:r>
          </w:p>
        </w:tc>
        <w:tc>
          <w:tcPr>
            <w:tcW w:type="dxa" w:w="62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color w:val="999999"/>
                <w:sz w:val="18"/>
                <w:szCs w:val="18"/>
              </w:rPr>
              <w:t xml:space="preserve">☐ ได้ ระบุ.......   ☐ ไม่ได้</w:t>
            </w:r>
          </w:p>
        </w:tc>
      </w:tr>
      <w:tr>
        <w:tc>
          <w:tcPr>
            <w:tcW w:type="dxa" w:w="3400"/>
            <w:shd w:fill="EAF0F8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/>
                <w:bCs/>
                <w:color w:val="1F4E79"/>
                <w:sz w:val="19"/>
                <w:szCs w:val="19"/>
              </w:rPr>
              <w:t xml:space="preserve">ข้อจำกัดอื่น</w:t>
            </w:r>
          </w:p>
        </w:tc>
        <w:tc>
          <w:tcPr>
            <w:tcW w:type="dxa" w:w="62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color w:val="999999"/>
                <w:sz w:val="18"/>
                <w:szCs w:val="18"/>
              </w:rPr>
              <w:t xml:space="preserve"> </w:t>
            </w:r>
          </w:p>
        </w:tc>
      </w:tr>
    </w:tbl>
    <w:p>
      <w:pPr>
        <w:spacing w:after="60" w:before="0"/>
      </w:pPr>
      <w:r>
        <w:rPr>
          <w:rFonts w:ascii="Sarabun" w:cs="Sarabun" w:eastAsia="Sarabun" w:hAnsi="Sarabun"/>
          <w:sz w:val="18"/>
          <w:szCs w:val="18"/>
        </w:rPr>
        <w:t xml:space="preserve">คู่มือตีความชี้ว่าข้อจำกัดการใช้งานหมายถึง</w:t>
      </w:r>
      <w:r>
        <w:rPr>
          <w:rFonts w:ascii="Sarabun" w:cs="Sarabun" w:eastAsia="Sarabun" w:hAnsi="Sarabun"/>
          <w:b/>
          <w:bCs/>
          <w:sz w:val="18"/>
          <w:szCs w:val="18"/>
        </w:rPr>
        <w:t xml:space="preserve">ทั้งตัววัสดุและตัวเอกสาร</w:t>
      </w:r>
      <w:r>
        <w:rPr>
          <w:rFonts w:ascii="Sarabun" w:cs="Sarabun" w:eastAsia="Sarabun" w:hAnsi="Sarabun"/>
          <w:sz w:val="18"/>
          <w:szCs w:val="18"/>
        </w:rPr>
        <w:t xml:space="preserve"> — วัสดุอาจมีข้อจำกัดเรื่องชนิดอาหารหรือช่วงอุณหภูมิ ในขณะที่ตัวเอกสารเองอาจมีอายุผูกกับวันที่ออกหรือรหัสล็อต</w:t>
      </w:r>
    </w:p>
    <w:p>
      <w:pPr>
        <w:spacing w:after="70" w:before="180"/>
      </w:pPr>
      <w:r>
        <w:rPr>
          <w:rFonts w:ascii="Sarabun" w:cs="Sarabun" w:eastAsia="Sarabun" w:hAnsi="Sarabun"/>
          <w:b/>
          <w:bCs/>
          <w:color w:val="1F4E79"/>
          <w:sz w:val="22"/>
          <w:szCs w:val="22"/>
        </w:rPr>
        <w:t xml:space="preserve">ส่วนที่ 7 — อายุการใช้งาน  (ถ้าเกี่ยวข้อง)</w:t>
      </w:r>
    </w:p>
    <w:tbl>
      <w:tblPr>
        <w:tblW w:type="dxa" w:w="96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400"/>
        <w:gridCol w:w="6200"/>
      </w:tblGrid>
      <w:tr>
        <w:tc>
          <w:tcPr>
            <w:tcW w:type="dxa" w:w="3400"/>
            <w:shd w:fill="EAF0F8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/>
                <w:bCs/>
                <w:color w:val="1F4E79"/>
                <w:sz w:val="19"/>
                <w:szCs w:val="19"/>
              </w:rPr>
              <w:t xml:space="preserve">อายุการใช้งานของบรรจุภัณฑ์</w:t>
            </w:r>
          </w:p>
        </w:tc>
        <w:tc>
          <w:tcPr>
            <w:tcW w:type="dxa" w:w="62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3400"/>
            <w:shd w:fill="EAF0F8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/>
                <w:bCs/>
                <w:color w:val="1F4E79"/>
                <w:sz w:val="19"/>
                <w:szCs w:val="19"/>
              </w:rPr>
              <w:t xml:space="preserve">สภาวะการเก็บรักษาที่ทำให้อายุนั้นคงอยู่</w:t>
            </w:r>
          </w:p>
        </w:tc>
        <w:tc>
          <w:tcPr>
            <w:tcW w:type="dxa" w:w="62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color w:val="999999"/>
                <w:sz w:val="18"/>
                <w:szCs w:val="18"/>
              </w:rPr>
              <w:t xml:space="preserve"> </w:t>
            </w:r>
          </w:p>
        </w:tc>
      </w:tr>
    </w:tbl>
    <w:p>
      <w:pPr>
        <w:spacing w:after="70" w:before="180"/>
      </w:pPr>
      <w:r>
        <w:rPr>
          <w:rFonts w:ascii="Sarabun" w:cs="Sarabun" w:eastAsia="Sarabun" w:hAnsi="Sarabun"/>
          <w:b/>
          <w:bCs/>
          <w:color w:val="1F4E79"/>
          <w:sz w:val="22"/>
          <w:szCs w:val="22"/>
        </w:rPr>
        <w:t xml:space="preserve">ส่วนที่ 8 — การจัดทำและอนุมัติ  (ข้อกำหนดบังคับ)</w:t>
      </w:r>
    </w:p>
    <w:tbl>
      <w:tblPr>
        <w:tblW w:type="dxa" w:w="96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300"/>
        <w:gridCol w:w="1800"/>
        <w:gridCol w:w="1700"/>
        <w:gridCol w:w="2400"/>
        <w:gridCol w:w="1200"/>
        <w:gridCol w:w="1200"/>
      </w:tblGrid>
      <w:tr>
        <w:trPr>
          <w:tblHeader/>
        </w:trPr>
        <w:tc>
          <w:tcPr>
            <w:tcW w:type="dxa" w:w="130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9"/>
                <w:szCs w:val="19"/>
              </w:rPr>
              <w:t xml:space="preserve"/>
            </w:r>
          </w:p>
        </w:tc>
        <w:tc>
          <w:tcPr>
            <w:tcW w:type="dxa" w:w="180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9"/>
                <w:szCs w:val="19"/>
              </w:rPr>
              <w:t xml:space="preserve">ชื่อ</w:t>
            </w:r>
          </w:p>
        </w:tc>
        <w:tc>
          <w:tcPr>
            <w:tcW w:type="dxa" w:w="170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9"/>
                <w:szCs w:val="19"/>
              </w:rPr>
              <w:t xml:space="preserve">ตำแหน่ง</w:t>
            </w:r>
          </w:p>
        </w:tc>
        <w:tc>
          <w:tcPr>
            <w:tcW w:type="dxa" w:w="240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9"/>
                <w:szCs w:val="19"/>
              </w:rPr>
              <w:t xml:space="preserve">ความสามารถที่ใช้อ้างอิง</w:t>
            </w:r>
          </w:p>
        </w:tc>
        <w:tc>
          <w:tcPr>
            <w:tcW w:type="dxa" w:w="120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9"/>
                <w:szCs w:val="19"/>
              </w:rPr>
              <w:t xml:space="preserve">วันที่</w:t>
            </w:r>
          </w:p>
        </w:tc>
        <w:tc>
          <w:tcPr>
            <w:tcW w:type="dxa" w:w="120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9"/>
                <w:szCs w:val="19"/>
              </w:rPr>
              <w:t xml:space="preserve">ลายเซ็น</w:t>
            </w:r>
          </w:p>
        </w:tc>
      </w:tr>
      <w:tr>
        <w:tc>
          <w:tcPr>
            <w:tcW w:type="dxa" w:w="130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/>
                <w:bCs/>
                <w:sz w:val="18"/>
                <w:szCs w:val="18"/>
              </w:rPr>
              <w:t xml:space="preserve">ผู้จัดทำ</w:t>
            </w:r>
          </w:p>
        </w:tc>
        <w:tc>
          <w:tcPr>
            <w:tcW w:type="dxa" w:w="18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7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24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2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2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130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/>
                <w:bCs/>
                <w:sz w:val="18"/>
                <w:szCs w:val="18"/>
              </w:rPr>
              <w:t xml:space="preserve">ผู้อนุมัติ</w:t>
            </w:r>
          </w:p>
        </w:tc>
        <w:tc>
          <w:tcPr>
            <w:tcW w:type="dxa" w:w="18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7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24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2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2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</w:tbl>
    <w:p>
      <w:pPr>
        <w:spacing w:after="60" w:before="0"/>
      </w:pPr>
      <w:r>
        <w:rPr>
          <w:rFonts w:ascii="Sarabun" w:cs="Sarabun" w:eastAsia="Sarabun" w:hAnsi="Sarabun"/>
          <w:sz w:val="18"/>
          <w:szCs w:val="18"/>
        </w:rPr>
        <w:t xml:space="preserve">ช่อง “ความสามารถที่ใช้อ้างอิง” มีไว้ตอบข้อกำหนดที่ระบุว่าต้องเป็น </w:t>
      </w:r>
      <w:r>
        <w:rPr>
          <w:rFonts w:ascii="Sarabun" w:cs="Sarabun" w:eastAsia="Sarabun" w:hAnsi="Sarabun"/>
          <w:b/>
          <w:bCs/>
          <w:sz w:val="18"/>
          <w:szCs w:val="18"/>
        </w:rPr>
        <w:t xml:space="preserve">ผู้ที่มีความสามารถเหมาะสม</w:t>
      </w:r>
      <w:r>
        <w:rPr>
          <w:rFonts w:ascii="Sarabun" w:cs="Sarabun" w:eastAsia="Sarabun" w:hAnsi="Sarabun"/>
          <w:sz w:val="18"/>
          <w:szCs w:val="18"/>
        </w:rPr>
        <w:t xml:space="preserve"> เช่น วุฒิการศึกษา การอบรมด้านวัสดุสัมผัสอาหาร หรือประสบการณ์ที่เกี่ยวข้อง</w:t>
      </w:r>
    </w:p>
    <w:p>
      <w:r>
        <w:br w:type="page"/>
      </w:r>
    </w:p>
    <w:p>
      <w:pPr>
        <w:spacing w:after="30" w:before="0"/>
      </w:pPr>
      <w:r>
        <w:rPr>
          <w:rFonts w:ascii="Consolas" w:cs="Consolas" w:eastAsia="Consolas" w:hAnsi="Consolas"/>
          <w:b/>
          <w:bCs/>
          <w:color w:val="1F4E79"/>
          <w:sz w:val="18"/>
          <w:szCs w:val="18"/>
        </w:rPr>
        <w:t xml:space="preserve">SOC-02</w:t>
      </w:r>
    </w:p>
    <w:p>
      <w:pPr>
        <w:spacing w:after="40" w:before="0"/>
      </w:pPr>
      <w:r>
        <w:rPr>
          <w:rFonts w:ascii="Sarabun" w:cs="Sarabun" w:eastAsia="Sarabun" w:hAnsi="Sarabun"/>
          <w:b/>
          <w:bCs/>
          <w:sz w:val="28"/>
          <w:szCs w:val="28"/>
        </w:rPr>
        <w:t xml:space="preserve">ทะเบียนคุมเอกสารและรอบทบทวน</w:t>
      </w:r>
    </w:p>
    <w:p>
      <w:pPr>
        <w:spacing w:after="120" w:before="0"/>
      </w:pPr>
      <w:r>
        <w:rPr>
          <w:rFonts w:ascii="Sarabun" w:cs="Sarabun" w:eastAsia="Sarabun" w:hAnsi="Sarabun"/>
          <w:color w:val="555555"/>
          <w:sz w:val="18"/>
          <w:szCs w:val="18"/>
        </w:rPr>
        <w:t xml:space="preserve">ข้อ 3.4.3 กำหนดให้ทบทวน SoC ตาม</w:t>
      </w:r>
      <w:r>
        <w:rPr>
          <w:rFonts w:ascii="Sarabun" w:cs="Sarabun" w:eastAsia="Sarabun" w:hAnsi="Sarabun"/>
          <w:b/>
          <w:bCs/>
          <w:color w:val="555555"/>
          <w:sz w:val="18"/>
          <w:szCs w:val="18"/>
        </w:rPr>
        <w:t xml:space="preserve">ความถี่ที่กำหนดไว้</w:t>
      </w:r>
      <w:r>
        <w:rPr>
          <w:rFonts w:ascii="Sarabun" w:cs="Sarabun" w:eastAsia="Sarabun" w:hAnsi="Sarabun"/>
          <w:color w:val="555555"/>
          <w:sz w:val="18"/>
          <w:szCs w:val="18"/>
        </w:rPr>
        <w:t xml:space="preserve"> หรือเมื่อมีการเปลี่ยนแปลงที่เกี่ยวข้อง คู่มือตีความระบุว่ามาตรฐานไม่ได้กำหนดความถี่ตายตัว </w:t>
      </w:r>
      <w:r>
        <w:rPr>
          <w:rFonts w:ascii="Sarabun" w:cs="Sarabun" w:eastAsia="Sarabun" w:hAnsi="Sarabun"/>
          <w:b/>
          <w:bCs/>
          <w:color w:val="555555"/>
          <w:sz w:val="18"/>
          <w:szCs w:val="18"/>
        </w:rPr>
        <w:t xml:space="preserve">มักเป็นรอบปีละครั้ง แต่ให้แต่ละโรงงานตัดสินใจเอง</w:t>
      </w:r>
    </w:p>
    <w:tbl>
      <w:tblPr>
        <w:tblW w:type="dxa" w:w="96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300"/>
        <w:gridCol w:w="2100"/>
        <w:gridCol w:w="1600"/>
        <w:gridCol w:w="900"/>
        <w:gridCol w:w="1200"/>
        <w:gridCol w:w="1300"/>
        <w:gridCol w:w="1200"/>
      </w:tblGrid>
      <w:tr>
        <w:trPr>
          <w:tblHeader/>
        </w:trPr>
        <w:tc>
          <w:tcPr>
            <w:tcW w:type="dxa" w:w="130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9"/>
                <w:szCs w:val="19"/>
              </w:rPr>
              <w:t xml:space="preserve">เลขที่ SoC</w:t>
            </w:r>
          </w:p>
        </w:tc>
        <w:tc>
          <w:tcPr>
            <w:tcW w:type="dxa" w:w="210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9"/>
                <w:szCs w:val="19"/>
              </w:rPr>
              <w:t xml:space="preserve">สินค้า / กลุ่มสินค้า</w:t>
            </w:r>
          </w:p>
        </w:tc>
        <w:tc>
          <w:tcPr>
            <w:tcW w:type="dxa" w:w="160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9"/>
                <w:szCs w:val="19"/>
              </w:rPr>
              <w:t xml:space="preserve">ลูกค้า</w:t>
            </w:r>
          </w:p>
        </w:tc>
        <w:tc>
          <w:tcPr>
            <w:tcW w:type="dxa" w:w="90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9"/>
                <w:szCs w:val="19"/>
              </w:rPr>
              <w:t xml:space="preserve">เวอร์ชัน</w:t>
            </w:r>
          </w:p>
        </w:tc>
        <w:tc>
          <w:tcPr>
            <w:tcW w:type="dxa" w:w="120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9"/>
                <w:szCs w:val="19"/>
              </w:rPr>
              <w:t xml:space="preserve">วันที่ออก</w:t>
            </w:r>
          </w:p>
        </w:tc>
        <w:tc>
          <w:tcPr>
            <w:tcW w:type="dxa" w:w="130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9"/>
                <w:szCs w:val="19"/>
              </w:rPr>
              <w:t xml:space="preserve">วันทบทวนถัดไป</w:t>
            </w:r>
          </w:p>
        </w:tc>
        <w:tc>
          <w:tcPr>
            <w:tcW w:type="dxa" w:w="120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9"/>
                <w:szCs w:val="19"/>
              </w:rPr>
              <w:t xml:space="preserve">สถานะ</w:t>
            </w:r>
          </w:p>
        </w:tc>
      </w:tr>
      <w:tr>
        <w:tc>
          <w:tcPr>
            <w:tcW w:type="dxa" w:w="130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2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6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2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2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130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2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6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2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2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130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2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6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2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2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130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2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6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2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2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130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2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6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2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2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130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2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6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2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2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130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2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6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2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2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130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2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6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2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2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</w:tbl>
    <w:p>
      <w:pPr>
        <w:spacing w:after="100" w:before="0"/>
      </w:pPr>
      <w:r>
        <w:rPr>
          <w:rFonts w:ascii="Sarabun" w:cs="Sarabun" w:eastAsia="Sarabun" w:hAnsi="Sarabun"/>
          <w:sz w:val="20"/>
          <w:szCs w:val="20"/>
        </w:rPr>
        <w:t xml:space="preserve"/>
      </w:r>
    </w:p>
    <w:p>
      <w:pPr>
        <w:spacing w:after="60" w:before="0"/>
      </w:pPr>
      <w:r>
        <w:rPr>
          <w:rFonts w:ascii="Sarabun" w:cs="Sarabun" w:eastAsia="Sarabun" w:hAnsi="Sarabun"/>
          <w:b/>
          <w:bCs/>
          <w:sz w:val="20"/>
          <w:szCs w:val="20"/>
        </w:rPr>
        <w:t xml:space="preserve">เหตุการณ์ที่ต้องทบทวนทันที ไม่ต้องรอครบรอบ</w:t>
      </w:r>
    </w:p>
    <w:p>
      <w:pPr>
        <w:pStyle w:val="ListParagraph"/>
        <w:numPr>
          <w:ilvl w:val="0"/>
          <w:numId w:val="2"/>
        </w:numPr>
        <w:spacing w:after="70"/>
      </w:pPr>
      <w:r>
        <w:rPr>
          <w:rFonts w:ascii="Sarabun" w:cs="Sarabun" w:eastAsia="Sarabun" w:hAnsi="Sarabun"/>
          <w:sz w:val="19"/>
          <w:szCs w:val="19"/>
        </w:rPr>
        <w:t xml:space="preserve">เปลี่ยนแปลงที่กระทบเนื้อหาของ SoC เช่น เปลี่ยนสูตร ชั้นวัสดุ หมึก หรือกาว</w:t>
      </w:r>
    </w:p>
    <w:p>
      <w:pPr>
        <w:pStyle w:val="ListParagraph"/>
        <w:numPr>
          <w:ilvl w:val="0"/>
          <w:numId w:val="2"/>
        </w:numPr>
        <w:spacing w:after="70"/>
      </w:pPr>
      <w:r>
        <w:rPr>
          <w:rFonts w:ascii="Sarabun" w:cs="Sarabun" w:eastAsia="Sarabun" w:hAnsi="Sarabun"/>
          <w:sz w:val="19"/>
          <w:szCs w:val="19"/>
        </w:rPr>
        <w:t xml:space="preserve">กฎหมายของประเทศผู้ผลิตหรือประเทศปลายทางเปลี่ยน</w:t>
      </w:r>
    </w:p>
    <w:p>
      <w:pPr>
        <w:pStyle w:val="ListParagraph"/>
        <w:numPr>
          <w:ilvl w:val="0"/>
          <w:numId w:val="2"/>
        </w:numPr>
        <w:spacing w:after="70"/>
      </w:pPr>
      <w:r>
        <w:rPr>
          <w:rFonts w:ascii="Sarabun" w:cs="Sarabun" w:eastAsia="Sarabun" w:hAnsi="Sarabun"/>
          <w:sz w:val="19"/>
          <w:szCs w:val="19"/>
        </w:rPr>
        <w:t xml:space="preserve">มีการปรับปรุงหรือเปลี่ยนแปลงตัวสินค้า</w:t>
      </w:r>
    </w:p>
    <w:p>
      <w:pPr>
        <w:pStyle w:val="ListParagraph"/>
        <w:numPr>
          <w:ilvl w:val="0"/>
          <w:numId w:val="2"/>
        </w:numPr>
        <w:spacing w:after="70"/>
      </w:pPr>
      <w:r>
        <w:rPr>
          <w:rFonts w:ascii="Sarabun" w:cs="Sarabun" w:eastAsia="Sarabun" w:hAnsi="Sarabun"/>
          <w:sz w:val="19"/>
          <w:szCs w:val="19"/>
        </w:rPr>
        <w:t xml:space="preserve">เปลี่ยนผู้ส่งมอบวัตถุดิบ แม้จะเป็นเกรดเดียวกัน</w:t>
      </w:r>
    </w:p>
    <w:p>
      <w:pPr>
        <w:spacing w:after="60" w:before="0"/>
      </w:pPr>
      <w:r>
        <w:rPr>
          <w:rFonts w:ascii="Sarabun" w:cs="Sarabun" w:eastAsia="Sarabun" w:hAnsi="Sarabun"/>
          <w:color w:val="555555"/>
          <w:sz w:val="18"/>
          <w:szCs w:val="18"/>
        </w:rPr>
        <w:t xml:space="preserve">สี่ข้อนี้คือตัวอย่างที่ข้อกำหนดยกไว้ </w:t>
      </w:r>
      <w:r>
        <w:rPr>
          <w:rFonts w:ascii="Sarabun" w:cs="Sarabun" w:eastAsia="Sarabun" w:hAnsi="Sarabun"/>
          <w:b/>
          <w:bCs/>
          <w:color w:val="555555"/>
          <w:sz w:val="18"/>
          <w:szCs w:val="18"/>
        </w:rPr>
        <w:t xml:space="preserve">ให้เขียนไว้ในระเบียบปฏิบัติของโรงงานด้วย ไม่ใช่จำเอาไว้เฉย ๆ</w:t>
      </w:r>
    </w:p>
    <w:p>
      <w:pPr>
        <w:spacing w:after="60" w:before="0"/>
      </w:pPr>
      <w:r>
        <w:rPr>
          <w:rFonts w:ascii="Sarabun" w:cs="Sarabun" w:eastAsia="Sarabun" w:hAnsi="Sarabun"/>
          <w:sz w:val="20"/>
          <w:szCs w:val="20"/>
        </w:rPr>
        <w:t xml:space="preserve"/>
      </w:r>
    </w:p>
    <w:p>
      <w:pPr>
        <w:spacing w:after="60" w:before="0"/>
      </w:pPr>
      <w:r>
        <w:rPr>
          <w:rFonts w:ascii="Sarabun" w:cs="Sarabun" w:eastAsia="Sarabun" w:hAnsi="Sarabun"/>
          <w:b/>
          <w:bCs/>
          <w:sz w:val="20"/>
          <w:szCs w:val="20"/>
        </w:rPr>
        <w:t xml:space="preserve">บันทึกเหตุผลของการทบทวน</w:t>
      </w:r>
    </w:p>
    <w:tbl>
      <w:tblPr>
        <w:tblW w:type="dxa" w:w="96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400"/>
        <w:gridCol w:w="1400"/>
        <w:gridCol w:w="3400"/>
        <w:gridCol w:w="1900"/>
        <w:gridCol w:w="1500"/>
      </w:tblGrid>
      <w:tr>
        <w:trPr>
          <w:tblHeader/>
        </w:trPr>
        <w:tc>
          <w:tcPr>
            <w:tcW w:type="dxa" w:w="140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9"/>
                <w:szCs w:val="19"/>
              </w:rPr>
              <w:t xml:space="preserve">วันที่ทบทวน</w:t>
            </w:r>
          </w:p>
        </w:tc>
        <w:tc>
          <w:tcPr>
            <w:tcW w:type="dxa" w:w="140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9"/>
                <w:szCs w:val="19"/>
              </w:rPr>
              <w:t xml:space="preserve">เลขที่ SoC</w:t>
            </w:r>
          </w:p>
        </w:tc>
        <w:tc>
          <w:tcPr>
            <w:tcW w:type="dxa" w:w="340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9"/>
                <w:szCs w:val="19"/>
              </w:rPr>
              <w:t xml:space="preserve">เหตุผล / สิ่งที่เปลี่ยน</w:t>
            </w:r>
          </w:p>
        </w:tc>
        <w:tc>
          <w:tcPr>
            <w:tcW w:type="dxa" w:w="190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9"/>
                <w:szCs w:val="19"/>
              </w:rPr>
              <w:t xml:space="preserve">ผลการทบทวน</w:t>
            </w:r>
          </w:p>
        </w:tc>
        <w:tc>
          <w:tcPr>
            <w:tcW w:type="dxa" w:w="150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9"/>
                <w:szCs w:val="19"/>
              </w:rPr>
              <w:t xml:space="preserve">ผู้ทบทวน</w:t>
            </w:r>
          </w:p>
        </w:tc>
      </w:tr>
      <w:tr>
        <w:tc>
          <w:tcPr>
            <w:tcW w:type="dxa" w:w="140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4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34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140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4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34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140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4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34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140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4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34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</w:tbl>
    <w:p>
      <w:pPr>
        <w:spacing w:after="60" w:before="0"/>
      </w:pPr>
      <w:r>
        <w:rPr>
          <w:rFonts w:ascii="Sarabun" w:cs="Sarabun" w:eastAsia="Sarabun" w:hAnsi="Sarabun"/>
          <w:sz w:val="18"/>
          <w:szCs w:val="18"/>
        </w:rPr>
        <w:t xml:space="preserve">ผู้ตรวจอาจ</w:t>
      </w:r>
      <w:r>
        <w:rPr>
          <w:rFonts w:ascii="Sarabun" w:cs="Sarabun" w:eastAsia="Sarabun" w:hAnsi="Sarabun"/>
          <w:b/>
          <w:bCs/>
          <w:sz w:val="18"/>
          <w:szCs w:val="18"/>
        </w:rPr>
        <w:t xml:space="preserve">ขอให้อธิบายเหตุผลของรอบทบทวนที่โรงงานเลือกใช้</w:t>
      </w:r>
      <w:r>
        <w:rPr>
          <w:rFonts w:ascii="Sarabun" w:cs="Sarabun" w:eastAsia="Sarabun" w:hAnsi="Sarabun"/>
          <w:sz w:val="18"/>
          <w:szCs w:val="18"/>
        </w:rPr>
        <w:t xml:space="preserve"> ตามที่คู่มือตีความระบุ จึงควรมีเหตุผลรองรับ ไม่ใช่ตั้งรอบไว้ลอย ๆ</w:t>
      </w:r>
    </w:p>
    <w:p>
      <w:r>
        <w:br w:type="page"/>
      </w:r>
    </w:p>
    <w:p>
      <w:pPr>
        <w:spacing w:after="30" w:before="0"/>
      </w:pPr>
      <w:r>
        <w:rPr>
          <w:rFonts w:ascii="Consolas" w:cs="Consolas" w:eastAsia="Consolas" w:hAnsi="Consolas"/>
          <w:b/>
          <w:bCs/>
          <w:color w:val="1F4E79"/>
          <w:sz w:val="18"/>
          <w:szCs w:val="18"/>
        </w:rPr>
        <w:t xml:space="preserve">SOC-03</w:t>
      </w:r>
    </w:p>
    <w:p>
      <w:pPr>
        <w:spacing w:after="40" w:before="0"/>
      </w:pPr>
      <w:r>
        <w:rPr>
          <w:rFonts w:ascii="Sarabun" w:cs="Sarabun" w:eastAsia="Sarabun" w:hAnsi="Sarabun"/>
          <w:b/>
          <w:bCs/>
          <w:sz w:val="28"/>
          <w:szCs w:val="28"/>
        </w:rPr>
        <w:t xml:space="preserve">แบบเก็บข้อมูลการใช้งานปลายทางจากลูกค้า</w:t>
      </w:r>
    </w:p>
    <w:p>
      <w:pPr>
        <w:spacing w:after="130" w:before="0"/>
      </w:pPr>
      <w:r>
        <w:rPr>
          <w:rFonts w:ascii="Sarabun" w:cs="Sarabun" w:eastAsia="Sarabun" w:hAnsi="Sarabun"/>
          <w:color w:val="555555"/>
          <w:sz w:val="18"/>
          <w:szCs w:val="18"/>
        </w:rPr>
        <w:t xml:space="preserve">คู่มือตีความระบุว่า </w:t>
      </w:r>
      <w:r>
        <w:rPr>
          <w:rFonts w:ascii="Sarabun" w:cs="Sarabun" w:eastAsia="Sarabun" w:hAnsi="Sarabun"/>
          <w:b/>
          <w:bCs/>
          <w:color w:val="555555"/>
          <w:sz w:val="18"/>
          <w:szCs w:val="18"/>
        </w:rPr>
        <w:t xml:space="preserve">ลูกค้าต้องแจ้งคุณสมบัติที่ต้องการและการใช้งานปลายทางของสินค้าให้โรงงานทราบ และโรงงานไม่ต้องรับผิดชอบในกรณีที่ลูกค้าไม่ได้ระบุไว้</w:t>
      </w:r>
      <w:r>
        <w:rPr>
          <w:rFonts w:ascii="Sarabun" w:cs="Sarabun" w:eastAsia="Sarabun" w:hAnsi="Sarabun"/>
          <w:color w:val="555555"/>
          <w:sz w:val="18"/>
          <w:szCs w:val="18"/>
        </w:rPr>
        <w:t xml:space="preserve"> — แบบฟอร์มนี้คือหลักฐานว่าเราถามแล้ว</w:t>
      </w:r>
    </w:p>
    <w:tbl>
      <w:tblPr>
        <w:tblW w:type="dxa" w:w="96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400"/>
        <w:gridCol w:w="6200"/>
      </w:tblGrid>
      <w:tr>
        <w:tc>
          <w:tcPr>
            <w:tcW w:type="dxa" w:w="3400"/>
            <w:shd w:fill="EAF0F8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/>
                <w:bCs/>
                <w:color w:val="1F4E79"/>
                <w:sz w:val="19"/>
                <w:szCs w:val="19"/>
              </w:rPr>
              <w:t xml:space="preserve">ลูกค้า / เลขที่คำสั่งซื้อ</w:t>
            </w:r>
          </w:p>
        </w:tc>
        <w:tc>
          <w:tcPr>
            <w:tcW w:type="dxa" w:w="62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3400"/>
            <w:shd w:fill="EAF0F8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/>
                <w:bCs/>
                <w:color w:val="1F4E79"/>
                <w:sz w:val="19"/>
                <w:szCs w:val="19"/>
              </w:rPr>
              <w:t xml:space="preserve">สินค้าที่จะบรรจุ  ระบุให้เจาะจง</w:t>
            </w:r>
          </w:p>
        </w:tc>
        <w:tc>
          <w:tcPr>
            <w:tcW w:type="dxa" w:w="62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3400"/>
            <w:shd w:fill="EAF0F8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/>
                <w:bCs/>
                <w:color w:val="1F4E79"/>
                <w:sz w:val="19"/>
                <w:szCs w:val="19"/>
              </w:rPr>
              <w:t xml:space="preserve">ลักษณะอาหาร  เช่น มัน กรด แอลกอฮอล์ แห้ง</w:t>
            </w:r>
          </w:p>
        </w:tc>
        <w:tc>
          <w:tcPr>
            <w:tcW w:type="dxa" w:w="62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color w:val="999999"/>
                <w:sz w:val="18"/>
                <w:szCs w:val="18"/>
              </w:rPr>
              <w:t xml:space="preserve"> </w:t>
            </w:r>
          </w:p>
        </w:tc>
      </w:tr>
    </w:tbl>
    <w:p>
      <w:pPr>
        <w:spacing w:after="80" w:before="0"/>
      </w:pPr>
      <w:r>
        <w:rPr>
          <w:rFonts w:ascii="Sarabun" w:cs="Sarabun" w:eastAsia="Sarabun" w:hAnsi="Sarabun"/>
          <w:sz w:val="20"/>
          <w:szCs w:val="20"/>
        </w:rPr>
        <w:t xml:space="preserve"/>
      </w:r>
    </w:p>
    <w:tbl>
      <w:tblPr>
        <w:tblW w:type="dxa" w:w="96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200"/>
        <w:gridCol w:w="5400"/>
      </w:tblGrid>
      <w:tr>
        <w:trPr>
          <w:tblHeader/>
        </w:trPr>
        <w:tc>
          <w:tcPr>
            <w:tcW w:type="dxa" w:w="420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9"/>
                <w:szCs w:val="19"/>
              </w:rPr>
              <w:t xml:space="preserve">หัวข้อ</w:t>
            </w:r>
          </w:p>
        </w:tc>
        <w:tc>
          <w:tcPr>
            <w:tcW w:type="dxa" w:w="540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9"/>
                <w:szCs w:val="19"/>
              </w:rPr>
              <w:t xml:space="preserve">คำตอบจากลูกค้า</w:t>
            </w:r>
          </w:p>
        </w:tc>
      </w:tr>
      <w:tr>
        <w:tc>
          <w:tcPr>
            <w:tcW w:type="dxa" w:w="420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sz w:val="18"/>
                <w:szCs w:val="18"/>
              </w:rPr>
              <w:t xml:space="preserve">อุณหภูมิสูงสุดที่บรรจุภัณฑ์จะเจอ</w:t>
            </w:r>
          </w:p>
        </w:tc>
        <w:tc>
          <w:tcPr>
            <w:tcW w:type="dxa" w:w="54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420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sz w:val="18"/>
                <w:szCs w:val="18"/>
              </w:rPr>
              <w:t xml:space="preserve">อุณหภูมิต่ำสุด  เช่น แช่แข็ง</w:t>
            </w:r>
          </w:p>
        </w:tc>
        <w:tc>
          <w:tcPr>
            <w:tcW w:type="dxa" w:w="54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420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sz w:val="18"/>
                <w:szCs w:val="18"/>
              </w:rPr>
              <w:t xml:space="preserve">เวลาสัมผัสอาหารนานที่สุด</w:t>
            </w:r>
          </w:p>
        </w:tc>
        <w:tc>
          <w:tcPr>
            <w:tcW w:type="dxa" w:w="54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420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sz w:val="18"/>
                <w:szCs w:val="18"/>
              </w:rPr>
              <w:t xml:space="preserve">ผ่านการฆ่าเชื้อด้วยความร้อนหรือไม่</w:t>
            </w:r>
          </w:p>
        </w:tc>
        <w:tc>
          <w:tcPr>
            <w:tcW w:type="dxa" w:w="54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420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sz w:val="18"/>
                <w:szCs w:val="18"/>
              </w:rPr>
              <w:t xml:space="preserve">ผู้บริโภคจะนำเข้าไมโครเวฟหรือเตาอบหรือไม่</w:t>
            </w:r>
          </w:p>
        </w:tc>
        <w:tc>
          <w:tcPr>
            <w:tcW w:type="dxa" w:w="54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420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sz w:val="18"/>
                <w:szCs w:val="18"/>
              </w:rPr>
              <w:t xml:space="preserve">ประเทศปลายทางที่จะวางจำหน่าย</w:t>
            </w:r>
          </w:p>
        </w:tc>
        <w:tc>
          <w:tcPr>
            <w:tcW w:type="dxa" w:w="54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420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sz w:val="18"/>
                <w:szCs w:val="18"/>
              </w:rPr>
              <w:t xml:space="preserve">ข้อกำหนดเฉพาะของลูกค้าหรือของกฎหมายปลายทาง</w:t>
            </w:r>
          </w:p>
        </w:tc>
        <w:tc>
          <w:tcPr>
            <w:tcW w:type="dxa" w:w="54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420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sz w:val="18"/>
                <w:szCs w:val="18"/>
              </w:rPr>
              <w:t xml:space="preserve">อายุการเก็บของสินค้าสำเร็จรูป</w:t>
            </w:r>
          </w:p>
        </w:tc>
        <w:tc>
          <w:tcPr>
            <w:tcW w:type="dxa" w:w="54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</w:tbl>
    <w:p>
      <w:pPr>
        <w:spacing w:after="90" w:before="0"/>
      </w:pPr>
      <w:r>
        <w:rPr>
          <w:rFonts w:ascii="Sarabun" w:cs="Sarabun" w:eastAsia="Sarabun" w:hAnsi="Sarabun"/>
          <w:sz w:val="20"/>
          <w:szCs w:val="20"/>
        </w:rPr>
        <w:t xml:space="preserve"/>
      </w:r>
    </w:p>
    <w:tbl>
      <w:tblPr>
        <w:tblW w:type="dxa" w:w="96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400"/>
        <w:gridCol w:w="6200"/>
      </w:tblGrid>
      <w:tr>
        <w:tc>
          <w:tcPr>
            <w:tcW w:type="dxa" w:w="3400"/>
            <w:shd w:fill="EAF0F8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/>
                <w:bCs/>
                <w:color w:val="1F4E79"/>
                <w:sz w:val="19"/>
                <w:szCs w:val="19"/>
              </w:rPr>
              <w:t xml:space="preserve">ผู้ให้ข้อมูลฝ่ายลูกค้า / วันที่</w:t>
            </w:r>
          </w:p>
        </w:tc>
        <w:tc>
          <w:tcPr>
            <w:tcW w:type="dxa" w:w="62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3400"/>
            <w:shd w:fill="EAF0F8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/>
                <w:bCs/>
                <w:color w:val="1F4E79"/>
                <w:sz w:val="19"/>
                <w:szCs w:val="19"/>
              </w:rPr>
              <w:t xml:space="preserve">ผู้รับข้อมูลฝ่ายเรา / วันที่</w:t>
            </w:r>
          </w:p>
        </w:tc>
        <w:tc>
          <w:tcPr>
            <w:tcW w:type="dxa" w:w="62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3400"/>
            <w:shd w:fill="EAF0F8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/>
                <w:bCs/>
                <w:color w:val="1F4E79"/>
                <w:sz w:val="19"/>
                <w:szCs w:val="19"/>
              </w:rPr>
              <w:t xml:space="preserve">กรณีลูกค้าไม่ระบุ — บันทึกไว้ว่าอย่างไร</w:t>
            </w:r>
          </w:p>
        </w:tc>
        <w:tc>
          <w:tcPr>
            <w:tcW w:type="dxa" w:w="62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color w:val="999999"/>
                <w:sz w:val="18"/>
                <w:szCs w:val="18"/>
              </w:rPr>
              <w:t xml:space="preserve"> </w:t>
            </w:r>
          </w:p>
        </w:tc>
      </w:tr>
    </w:tbl>
    <w:p>
      <w:pPr>
        <w:spacing w:after="60" w:before="0"/>
      </w:pPr>
      <w:r>
        <w:rPr>
          <w:rFonts w:ascii="Sarabun" w:cs="Sarabun" w:eastAsia="Sarabun" w:hAnsi="Sarabun"/>
          <w:b/>
          <w:bCs/>
          <w:color w:val="B3261E"/>
          <w:sz w:val="19"/>
          <w:szCs w:val="19"/>
        </w:rPr>
        <w:t xml:space="preserve">ช่องสุดท้ายสำคัญที่สุด</w:t>
      </w:r>
      <w:r>
        <w:rPr>
          <w:rFonts w:ascii="Sarabun" w:cs="Sarabun" w:eastAsia="Sarabun" w:hAnsi="Sarabun"/>
          <w:sz w:val="19"/>
          <w:szCs w:val="19"/>
        </w:rPr>
        <w:t xml:space="preserve"> — ถ้าลูกค้าไม่ตอบ ให้บันทึกไว้เป็นลายลักษณ์อักษรว่าได้สอบถามแล้วแต่ไม่ได้รับข้อมูล และจำกัดขอบเขตการรับรองใน SOC-01 ให้สอดคล้องกัน</w:t>
      </w:r>
    </w:p>
    <w:p>
      <w:r>
        <w:br w:type="page"/>
      </w:r>
    </w:p>
    <w:p>
      <w:pPr>
        <w:spacing w:after="30" w:before="0"/>
      </w:pPr>
      <w:r>
        <w:rPr>
          <w:rFonts w:ascii="Consolas" w:cs="Consolas" w:eastAsia="Consolas" w:hAnsi="Consolas"/>
          <w:b/>
          <w:bCs/>
          <w:color w:val="1F4E79"/>
          <w:sz w:val="18"/>
          <w:szCs w:val="18"/>
        </w:rPr>
        <w:t xml:space="preserve">SOC-04</w:t>
      </w:r>
    </w:p>
    <w:p>
      <w:pPr>
        <w:spacing w:after="40" w:before="0"/>
      </w:pPr>
      <w:r>
        <w:rPr>
          <w:rFonts w:ascii="Sarabun" w:cs="Sarabun" w:eastAsia="Sarabun" w:hAnsi="Sarabun"/>
          <w:b/>
          <w:bCs/>
          <w:sz w:val="26"/>
          <w:szCs w:val="26"/>
        </w:rPr>
        <w:t xml:space="preserve">หลักฐานสนับสนุนคำกล่าวอ้างสำหรับ Functional Packaging</w:t>
      </w:r>
    </w:p>
    <w:p>
      <w:pPr>
        <w:spacing w:after="130" w:before="0"/>
      </w:pPr>
      <w:r>
        <w:rPr>
          <w:rFonts w:ascii="Sarabun" w:cs="Sarabun" w:eastAsia="Sarabun" w:hAnsi="Sarabun"/>
          <w:color w:val="555555"/>
          <w:sz w:val="18"/>
          <w:szCs w:val="18"/>
        </w:rPr>
        <w:t xml:space="preserve">ใช้เมื่อสินค้ามีคำกล่าวอ้างด้านการรับประกันหรือปรับปรุงความปลอดภัยของผลิตภัณฑ์ ข้อกำหนดระบุว่า</w:t>
      </w:r>
      <w:r>
        <w:rPr>
          <w:rFonts w:ascii="Sarabun" w:cs="Sarabun" w:eastAsia="Sarabun" w:hAnsi="Sarabun"/>
          <w:b/>
          <w:bCs/>
          <w:color w:val="555555"/>
          <w:sz w:val="18"/>
          <w:szCs w:val="18"/>
        </w:rPr>
        <w:t xml:space="preserve">หลักฐานพิสูจน์ประสิทธิผลหรือการอ้างอิงที่สืบย้อนได้ ต้องถูกบันทึกไว้ในข้อกำหนดเฉพาะของบรรจุภัณฑ์ และต้องพร้อมให้ผู้ตรวจดูเมื่อร้องขอ</w:t>
      </w:r>
    </w:p>
    <w:tbl>
      <w:tblPr>
        <w:tblW w:type="dxa" w:w="96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400"/>
        <w:gridCol w:w="6200"/>
      </w:tblGrid>
      <w:tr>
        <w:tc>
          <w:tcPr>
            <w:tcW w:type="dxa" w:w="3400"/>
            <w:shd w:fill="EAF0F8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/>
                <w:bCs/>
                <w:color w:val="1F4E79"/>
                <w:sz w:val="19"/>
                <w:szCs w:val="19"/>
              </w:rPr>
              <w:t xml:space="preserve">สินค้า / กลุ่มสินค้า</w:t>
            </w:r>
          </w:p>
        </w:tc>
        <w:tc>
          <w:tcPr>
            <w:tcW w:type="dxa" w:w="62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3400"/>
            <w:shd w:fill="EAF0F8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/>
                <w:bCs/>
                <w:color w:val="1F4E79"/>
                <w:sz w:val="19"/>
                <w:szCs w:val="19"/>
              </w:rPr>
              <w:t xml:space="preserve">คำกล่าวอ้างที่ระบุไว้  เขียนตามถ้อยคำที่ใช้จริง</w:t>
            </w:r>
          </w:p>
        </w:tc>
        <w:tc>
          <w:tcPr>
            <w:tcW w:type="dxa" w:w="62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3400"/>
            <w:shd w:fill="EAF0F8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/>
                <w:bCs/>
                <w:color w:val="1F4E79"/>
                <w:sz w:val="19"/>
                <w:szCs w:val="19"/>
              </w:rPr>
              <w:t xml:space="preserve">เลขที่ข้อกำหนดเฉพาะที่บันทึกหลักฐานไว้</w:t>
            </w:r>
          </w:p>
        </w:tc>
        <w:tc>
          <w:tcPr>
            <w:tcW w:type="dxa" w:w="62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color w:val="999999"/>
                <w:sz w:val="18"/>
                <w:szCs w:val="18"/>
              </w:rPr>
              <w:t xml:space="preserve"> </w:t>
            </w:r>
          </w:p>
        </w:tc>
      </w:tr>
    </w:tbl>
    <w:p>
      <w:pPr>
        <w:spacing w:after="90" w:before="0"/>
      </w:pPr>
      <w:r>
        <w:rPr>
          <w:rFonts w:ascii="Sarabun" w:cs="Sarabun" w:eastAsia="Sarabun" w:hAnsi="Sarabun"/>
          <w:sz w:val="20"/>
          <w:szCs w:val="20"/>
        </w:rPr>
        <w:t xml:space="preserve"/>
      </w:r>
    </w:p>
    <w:p>
      <w:pPr>
        <w:spacing w:after="60" w:before="0"/>
      </w:pPr>
      <w:r>
        <w:rPr>
          <w:rFonts w:ascii="Sarabun" w:cs="Sarabun" w:eastAsia="Sarabun" w:hAnsi="Sarabun"/>
          <w:b/>
          <w:bCs/>
          <w:sz w:val="20"/>
          <w:szCs w:val="20"/>
        </w:rPr>
        <w:t xml:space="preserve">รายการทดสอบที่ใช้อ้างอิง — เลือกเท่าที่เหมาะกับผลเชิงหน้าที่ที่กล่าวอ้าง</w:t>
      </w:r>
    </w:p>
    <w:tbl>
      <w:tblPr>
        <w:tblW w:type="dxa" w:w="96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100"/>
        <w:gridCol w:w="4300"/>
        <w:gridCol w:w="2900"/>
        <w:gridCol w:w="1300"/>
      </w:tblGrid>
      <w:tr>
        <w:trPr>
          <w:tblHeader/>
        </w:trPr>
        <w:tc>
          <w:tcPr>
            <w:tcW w:type="dxa" w:w="110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9"/>
                <w:szCs w:val="19"/>
              </w:rPr>
              <w:t xml:space="preserve">เกี่ยวข้อง</w:t>
            </w:r>
          </w:p>
        </w:tc>
        <w:tc>
          <w:tcPr>
            <w:tcW w:type="dxa" w:w="430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9"/>
                <w:szCs w:val="19"/>
              </w:rPr>
              <w:t xml:space="preserve">รายการทดสอบ</w:t>
            </w:r>
          </w:p>
        </w:tc>
        <w:tc>
          <w:tcPr>
            <w:tcW w:type="dxa" w:w="290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9"/>
                <w:szCs w:val="19"/>
              </w:rPr>
              <w:t xml:space="preserve">เลขที่รายงาน / ห้องปฏิบัติการ</w:t>
            </w:r>
          </w:p>
        </w:tc>
        <w:tc>
          <w:tcPr>
            <w:tcW w:type="dxa" w:w="130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9"/>
                <w:szCs w:val="19"/>
              </w:rPr>
              <w:t xml:space="preserve">วันที่</w:t>
            </w:r>
          </w:p>
        </w:tc>
      </w:tr>
      <w:tr>
        <w:tc>
          <w:tcPr>
            <w:tcW w:type="dxa" w:w="110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sz w:val="18"/>
                <w:szCs w:val="18"/>
              </w:rPr>
              <w:t xml:space="preserve">☐</w:t>
            </w:r>
          </w:p>
        </w:tc>
        <w:tc>
          <w:tcPr>
            <w:tcW w:type="dxa" w:w="4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การทดสอบทางเคมี ประสาทสัมผัส และการเคลื่อนย้ายของสาร</w:t>
            </w:r>
          </w:p>
        </w:tc>
        <w:tc>
          <w:tcPr>
            <w:tcW w:type="dxa" w:w="2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110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sz w:val="18"/>
                <w:szCs w:val="18"/>
              </w:rPr>
              <w:t xml:space="preserve">☐</w:t>
            </w:r>
          </w:p>
        </w:tc>
        <w:tc>
          <w:tcPr>
            <w:tcW w:type="dxa" w:w="4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การวิเคราะห์ head space</w:t>
            </w:r>
          </w:p>
        </w:tc>
        <w:tc>
          <w:tcPr>
            <w:tcW w:type="dxa" w:w="2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110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sz w:val="18"/>
                <w:szCs w:val="18"/>
              </w:rPr>
              <w:t xml:space="preserve">☐</w:t>
            </w:r>
          </w:p>
        </w:tc>
        <w:tc>
          <w:tcPr>
            <w:tcW w:type="dxa" w:w="4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อัตราการซึมผ่านของออกซิเจน (OTR) และไอน้ำ (MVTR)</w:t>
            </w:r>
          </w:p>
        </w:tc>
        <w:tc>
          <w:tcPr>
            <w:tcW w:type="dxa" w:w="2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110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sz w:val="18"/>
                <w:szCs w:val="18"/>
              </w:rPr>
              <w:t xml:space="preserve">☐</w:t>
            </w:r>
          </w:p>
        </w:tc>
        <w:tc>
          <w:tcPr>
            <w:tcW w:type="dxa" w:w="4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การทดลองอายุการเก็บ</w:t>
            </w:r>
          </w:p>
        </w:tc>
        <w:tc>
          <w:tcPr>
            <w:tcW w:type="dxa" w:w="2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110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sz w:val="18"/>
                <w:szCs w:val="18"/>
              </w:rPr>
              <w:t xml:space="preserve">☐</w:t>
            </w:r>
          </w:p>
        </w:tc>
        <w:tc>
          <w:tcPr>
            <w:tcW w:type="dxa" w:w="4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การรั่วซึมทางจุลชีววิทยา</w:t>
            </w:r>
          </w:p>
        </w:tc>
        <w:tc>
          <w:tcPr>
            <w:tcW w:type="dxa" w:w="2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110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sz w:val="18"/>
                <w:szCs w:val="18"/>
              </w:rPr>
              <w:t xml:space="preserve">☐</w:t>
            </w:r>
          </w:p>
        </w:tc>
        <w:tc>
          <w:tcPr>
            <w:tcW w:type="dxa" w:w="4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ประสิทธิภาพของ RFID</w:t>
            </w:r>
          </w:p>
        </w:tc>
        <w:tc>
          <w:tcPr>
            <w:tcW w:type="dxa" w:w="2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110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sz w:val="18"/>
                <w:szCs w:val="18"/>
              </w:rPr>
              <w:t xml:space="preserve">☐</w:t>
            </w:r>
          </w:p>
        </w:tc>
        <w:tc>
          <w:tcPr>
            <w:tcW w:type="dxa" w:w="4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อัตราการเท และการทดสอบการจ่ายหรือแบ่งปริมาณ</w:t>
            </w:r>
          </w:p>
        </w:tc>
        <w:tc>
          <w:tcPr>
            <w:tcW w:type="dxa" w:w="2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110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sz w:val="18"/>
                <w:szCs w:val="18"/>
              </w:rPr>
              <w:t xml:space="preserve">☐</w:t>
            </w:r>
          </w:p>
        </w:tc>
        <w:tc>
          <w:tcPr>
            <w:tcW w:type="dxa" w:w="4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อื่น ๆ ระบุ</w:t>
            </w:r>
          </w:p>
        </w:tc>
        <w:tc>
          <w:tcPr>
            <w:tcW w:type="dxa" w:w="2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</w:tbl>
    <w:p>
      <w:pPr>
        <w:spacing w:after="90" w:before="0"/>
      </w:pPr>
      <w:r>
        <w:rPr>
          <w:rFonts w:ascii="Sarabun" w:cs="Sarabun" w:eastAsia="Sarabun" w:hAnsi="Sarabun"/>
          <w:sz w:val="20"/>
          <w:szCs w:val="20"/>
        </w:rPr>
        <w:t xml:space="preserve"/>
      </w:r>
    </w:p>
    <w:p>
      <w:pPr>
        <w:spacing w:after="60" w:before="0"/>
      </w:pPr>
      <w:r>
        <w:rPr>
          <w:rFonts w:ascii="Sarabun" w:cs="Sarabun" w:eastAsia="Sarabun" w:hAnsi="Sarabun"/>
          <w:b/>
          <w:bCs/>
          <w:sz w:val="20"/>
          <w:szCs w:val="20"/>
        </w:rPr>
        <w:t xml:space="preserve">ตัวอย่างระบบ functional packaging ที่คู่มือตีความยกไว้</w:t>
      </w:r>
    </w:p>
    <w:p>
      <w:pPr>
        <w:pStyle w:val="ListParagraph"/>
        <w:numPr>
          <w:ilvl w:val="0"/>
          <w:numId w:val="2"/>
        </w:numPr>
        <w:spacing w:after="70"/>
      </w:pPr>
      <w:r>
        <w:rPr>
          <w:rFonts w:ascii="Sarabun" w:cs="Sarabun" w:eastAsia="Sarabun" w:hAnsi="Sarabun"/>
          <w:b/>
          <w:bCs/>
          <w:sz w:val="20"/>
          <w:szCs w:val="20"/>
        </w:rPr>
        <w:t xml:space="preserve">ชั้นกั้นพอลิเมอร์ที่มีอัตราการซึมผ่านออกซิเจนต่ำ</w:t>
      </w:r>
      <w:r>
        <w:rPr>
          <w:rFonts w:ascii="Sarabun" w:cs="Sarabun" w:eastAsia="Sarabun" w:hAnsi="Sarabun"/>
          <w:sz w:val="19"/>
          <w:szCs w:val="19"/>
        </w:rPr>
        <w:t xml:space="preserve"> — ยืดอายุการเก็บ</w:t>
      </w:r>
    </w:p>
    <w:p>
      <w:pPr>
        <w:pStyle w:val="ListParagraph"/>
        <w:numPr>
          <w:ilvl w:val="0"/>
          <w:numId w:val="2"/>
        </w:numPr>
        <w:spacing w:after="70"/>
      </w:pPr>
      <w:r>
        <w:rPr>
          <w:rFonts w:ascii="Sarabun" w:cs="Sarabun" w:eastAsia="Sarabun" w:hAnsi="Sarabun"/>
          <w:b/>
          <w:bCs/>
          <w:sz w:val="20"/>
          <w:szCs w:val="20"/>
        </w:rPr>
        <w:t xml:space="preserve">หมึกเทอร์โมโครมิก</w:t>
      </w:r>
      <w:r>
        <w:rPr>
          <w:rFonts w:ascii="Sarabun" w:cs="Sarabun" w:eastAsia="Sarabun" w:hAnsi="Sarabun"/>
          <w:sz w:val="19"/>
          <w:szCs w:val="19"/>
        </w:rPr>
        <w:t xml:space="preserve"> — ฉลากเปลี่ยนสีหรือหายไปเมื่อสินค้าเจออุณหภูมิที่เปลี่ยนไป เตือนว่าอาจเกินอุณหภูมิที่ปลอดภัย</w:t>
      </w:r>
    </w:p>
    <w:p>
      <w:pPr>
        <w:pStyle w:val="ListParagraph"/>
        <w:numPr>
          <w:ilvl w:val="0"/>
          <w:numId w:val="2"/>
        </w:numPr>
        <w:spacing w:after="70"/>
      </w:pPr>
      <w:r>
        <w:rPr>
          <w:rFonts w:ascii="Sarabun" w:cs="Sarabun" w:eastAsia="Sarabun" w:hAnsi="Sarabun"/>
          <w:b/>
          <w:bCs/>
          <w:sz w:val="20"/>
          <w:szCs w:val="20"/>
        </w:rPr>
        <w:t xml:space="preserve">ฝาปิดที่เติมซ้ำไม่ได้</w:t>
      </w:r>
      <w:r>
        <w:rPr>
          <w:rFonts w:ascii="Sarabun" w:cs="Sarabun" w:eastAsia="Sarabun" w:hAnsi="Sarabun"/>
          <w:sz w:val="19"/>
          <w:szCs w:val="19"/>
        </w:rPr>
        <w:t xml:space="preserve"> — ป้องกันการเจือปนและการปลอมแปลง ใช้มากกับสุราและของเหลว</w:t>
      </w:r>
    </w:p>
    <w:p>
      <w:pPr>
        <w:pStyle w:val="ListParagraph"/>
        <w:numPr>
          <w:ilvl w:val="0"/>
          <w:numId w:val="2"/>
        </w:numPr>
        <w:spacing w:after="70"/>
      </w:pPr>
      <w:r>
        <w:rPr>
          <w:rFonts w:ascii="Sarabun" w:cs="Sarabun" w:eastAsia="Sarabun" w:hAnsi="Sarabun"/>
          <w:b/>
          <w:bCs/>
          <w:sz w:val="20"/>
          <w:szCs w:val="20"/>
        </w:rPr>
        <w:t xml:space="preserve">ฉลากอัจฉริยะที่มีชิป RFID</w:t>
      </w:r>
      <w:r>
        <w:rPr>
          <w:rFonts w:ascii="Sarabun" w:cs="Sarabun" w:eastAsia="Sarabun" w:hAnsi="Sarabun"/>
          <w:sz w:val="19"/>
          <w:szCs w:val="19"/>
        </w:rPr>
        <w:t xml:space="preserve"> — สอบย้อนกลับหรือบันทึกประวัติอุณหภูมิระหว่างขนส่ง</w:t>
      </w:r>
    </w:p>
    <w:p>
      <w:pPr>
        <w:pStyle w:val="ListParagraph"/>
        <w:numPr>
          <w:ilvl w:val="0"/>
          <w:numId w:val="2"/>
        </w:numPr>
        <w:spacing w:after="70"/>
      </w:pPr>
      <w:r>
        <w:rPr>
          <w:rFonts w:ascii="Sarabun" w:cs="Sarabun" w:eastAsia="Sarabun" w:hAnsi="Sarabun"/>
          <w:b/>
          <w:bCs/>
          <w:sz w:val="20"/>
          <w:szCs w:val="20"/>
        </w:rPr>
        <w:t xml:space="preserve">QR code และแท็ก NFC</w:t>
      </w:r>
      <w:r>
        <w:rPr>
          <w:rFonts w:ascii="Sarabun" w:cs="Sarabun" w:eastAsia="Sarabun" w:hAnsi="Sarabun"/>
          <w:sz w:val="19"/>
          <w:szCs w:val="19"/>
        </w:rPr>
        <w:t xml:space="preserve"> — เก็บข้อมูลได้มากกว่าฉลากธรรมดา</w:t>
      </w:r>
    </w:p>
    <w:p>
      <w:pPr>
        <w:spacing w:after="70" w:before="0"/>
      </w:pPr>
      <w:r>
        <w:rPr>
          <w:rFonts w:ascii="Sarabun" w:cs="Sarabun" w:eastAsia="Sarabun" w:hAnsi="Sarabun"/>
          <w:sz w:val="20"/>
          <w:szCs w:val="20"/>
        </w:rPr>
        <w:t xml:space="preserve"/>
      </w:r>
    </w:p>
    <w:p>
      <w:pPr>
        <w:spacing w:after="60" w:before="0"/>
      </w:pPr>
      <w:r>
        <w:rPr>
          <w:rFonts w:ascii="Sarabun" w:cs="Sarabun" w:eastAsia="Sarabun" w:hAnsi="Sarabun"/>
          <w:b/>
          <w:bCs/>
          <w:color w:val="B3261E"/>
          <w:sz w:val="19"/>
          <w:szCs w:val="19"/>
        </w:rPr>
        <w:t xml:space="preserve">ข้อที่มักเข้าใจผิด</w:t>
      </w:r>
      <w:r>
        <w:rPr>
          <w:rFonts w:ascii="Sarabun" w:cs="Sarabun" w:eastAsia="Sarabun" w:hAnsi="Sarabun"/>
          <w:sz w:val="19"/>
          <w:szCs w:val="19"/>
        </w:rPr>
        <w:t xml:space="preserve"> — คู่มือตีความระบุว่า</w:t>
      </w:r>
      <w:r>
        <w:rPr>
          <w:rFonts w:ascii="Sarabun" w:cs="Sarabun" w:eastAsia="Sarabun" w:hAnsi="Sarabun"/>
          <w:b/>
          <w:bCs/>
          <w:sz w:val="19"/>
          <w:szCs w:val="19"/>
        </w:rPr>
        <w:t xml:space="preserve">ผู้ผลิตสินค้าสำเร็จรูปรวมถึงผู้บรรจุปลายทาง เป็นผู้รับผิดชอบในการให้หลักฐานหรือการอ้างอิงที่สืบย้อนได้ ซึ่งสนับสนุนคำกล่าวอ้างเรื่อง functional packaging</w:t>
      </w:r>
      <w:r>
        <w:rPr>
          <w:rFonts w:ascii="Sarabun" w:cs="Sarabun" w:eastAsia="Sarabun" w:hAnsi="Sarabun"/>
          <w:sz w:val="19"/>
          <w:szCs w:val="19"/>
        </w:rPr>
        <w:t xml:space="preserve"> โรงงานบรรจุภัณฑ์จึงต้องแยกให้ออกว่าคำกล่าวอ้างไหนเป็นของเรา และคำกล่าวอ้างไหนเป็นของลูกค้า</w:t>
      </w:r>
    </w:p>
    <w:p>
      <w:r>
        <w:br w:type="page"/>
      </w:r>
    </w:p>
    <w:p>
      <w:pPr>
        <w:pStyle w:val="Heading2"/>
        <w:spacing w:after="100" w:before="240"/>
      </w:pPr>
      <w:r>
        <w:rPr>
          <w:rFonts w:ascii="Sarabun" w:cs="Sarabun" w:eastAsia="Sarabun" w:hAnsi="Sarabun"/>
          <w:b/>
          <w:bCs/>
          <w:color w:val="1F4E79"/>
          <w:sz w:val="26"/>
          <w:szCs w:val="26"/>
        </w:rPr>
        <w:t xml:space="preserve">หกข้อผิดพลาดที่พบบ่อยตอนตรวจ</w:t>
      </w:r>
    </w:p>
    <w:p>
      <w:pPr>
        <w:pStyle w:val="ListParagraph"/>
        <w:numPr>
          <w:ilvl w:val="0"/>
          <w:numId w:val="2"/>
        </w:numPr>
        <w:spacing w:after="70"/>
      </w:pPr>
      <w:r>
        <w:rPr>
          <w:rFonts w:ascii="Sarabun" w:cs="Sarabun" w:eastAsia="Sarabun" w:hAnsi="Sarabun"/>
          <w:b/>
          <w:bCs/>
          <w:sz w:val="20"/>
          <w:szCs w:val="20"/>
        </w:rPr>
        <w:t xml:space="preserve">ใช้ใบรับรองผลทดสอบแทน SoC</w:t>
      </w:r>
      <w:r>
        <w:rPr>
          <w:rFonts w:ascii="Sarabun" w:cs="Sarabun" w:eastAsia="Sarabun" w:hAnsi="Sarabun"/>
          <w:sz w:val="19"/>
          <w:szCs w:val="19"/>
        </w:rPr>
        <w:t xml:space="preserve"> — คู่มือตีความบอกชัดว่า SoC </w:t>
      </w:r>
      <w:r>
        <w:rPr>
          <w:rFonts w:ascii="Sarabun" w:cs="Sarabun" w:eastAsia="Sarabun" w:hAnsi="Sarabun"/>
          <w:b/>
          <w:bCs/>
          <w:sz w:val="20"/>
          <w:szCs w:val="20"/>
        </w:rPr>
        <w:t xml:space="preserve">มีขอบเขตกว้างกว่าใบรับรอง</w:t>
      </w:r>
      <w:r>
        <w:rPr>
          <w:rFonts w:ascii="Sarabun" w:cs="Sarabun" w:eastAsia="Sarabun" w:hAnsi="Sarabun"/>
          <w:sz w:val="19"/>
          <w:szCs w:val="19"/>
        </w:rPr>
        <w:t xml:space="preserve"> และออกแบบมาเพื่อทดแทนหรือสนับสนุนการส่งต่อข้อมูลระหว่างบริษัท แทนการพึ่งใบรับรองผลทดสอบเพียงอย่างเดียว</w:t>
      </w:r>
    </w:p>
    <w:p>
      <w:pPr>
        <w:pStyle w:val="ListParagraph"/>
        <w:numPr>
          <w:ilvl w:val="0"/>
          <w:numId w:val="2"/>
        </w:numPr>
        <w:spacing w:after="70"/>
      </w:pPr>
      <w:r>
        <w:rPr>
          <w:rFonts w:ascii="Sarabun" w:cs="Sarabun" w:eastAsia="Sarabun" w:hAnsi="Sarabun"/>
          <w:b/>
          <w:bCs/>
          <w:sz w:val="20"/>
          <w:szCs w:val="20"/>
        </w:rPr>
        <w:t xml:space="preserve">ไม่ระบุข้อจำกัดการใช้งาน</w:t>
      </w:r>
      <w:r>
        <w:rPr>
          <w:rFonts w:ascii="Sarabun" w:cs="Sarabun" w:eastAsia="Sarabun" w:hAnsi="Sarabun"/>
          <w:sz w:val="19"/>
          <w:szCs w:val="19"/>
        </w:rPr>
        <w:t xml:space="preserve"> — เป็นข้อที่ข้อกำหนดเขียนไว้ตรง ๆ และเป็นข้อที่ตกบ่อยที่สุด</w:t>
      </w:r>
    </w:p>
    <w:p>
      <w:pPr>
        <w:pStyle w:val="ListParagraph"/>
        <w:numPr>
          <w:ilvl w:val="0"/>
          <w:numId w:val="2"/>
        </w:numPr>
        <w:spacing w:after="70"/>
      </w:pPr>
      <w:r>
        <w:rPr>
          <w:rFonts w:ascii="Sarabun" w:cs="Sarabun" w:eastAsia="Sarabun" w:hAnsi="Sarabun"/>
          <w:b/>
          <w:bCs/>
          <w:sz w:val="20"/>
          <w:szCs w:val="20"/>
        </w:rPr>
        <w:t xml:space="preserve">เว้นช่องวัสดุรีไซเคิลไว้ว่าง</w:t>
      </w:r>
      <w:r>
        <w:rPr>
          <w:rFonts w:ascii="Sarabun" w:cs="Sarabun" w:eastAsia="Sarabun" w:hAnsi="Sarabun"/>
          <w:sz w:val="19"/>
          <w:szCs w:val="19"/>
        </w:rPr>
        <w:t xml:space="preserve"> — ต้องระบุ ถึงแม้คำตอบคือไม่มี</w:t>
      </w:r>
    </w:p>
    <w:p>
      <w:pPr>
        <w:pStyle w:val="ListParagraph"/>
        <w:numPr>
          <w:ilvl w:val="0"/>
          <w:numId w:val="2"/>
        </w:numPr>
        <w:spacing w:after="70"/>
      </w:pPr>
      <w:r>
        <w:rPr>
          <w:rFonts w:ascii="Sarabun" w:cs="Sarabun" w:eastAsia="Sarabun" w:hAnsi="Sarabun"/>
          <w:b/>
          <w:bCs/>
          <w:sz w:val="20"/>
          <w:szCs w:val="20"/>
        </w:rPr>
        <w:t xml:space="preserve">ไม่มีรอบทบทวน หรือมีแต่ไม่เคยทบทวนจริง</w:t>
      </w:r>
      <w:r>
        <w:rPr>
          <w:rFonts w:ascii="Sarabun" w:cs="Sarabun" w:eastAsia="Sarabun" w:hAnsi="Sarabun"/>
          <w:sz w:val="19"/>
          <w:szCs w:val="19"/>
        </w:rPr>
        <w:t xml:space="preserve"> — ผู้ตรวจอาจขอให้อธิบายว่าทำไมถึงเลือกรอบนี้</w:t>
      </w:r>
    </w:p>
    <w:p>
      <w:pPr>
        <w:pStyle w:val="ListParagraph"/>
        <w:numPr>
          <w:ilvl w:val="0"/>
          <w:numId w:val="2"/>
        </w:numPr>
        <w:spacing w:after="70"/>
      </w:pPr>
      <w:r>
        <w:rPr>
          <w:rFonts w:ascii="Sarabun" w:cs="Sarabun" w:eastAsia="Sarabun" w:hAnsi="Sarabun"/>
          <w:b/>
          <w:bCs/>
          <w:sz w:val="20"/>
          <w:szCs w:val="20"/>
        </w:rPr>
        <w:t xml:space="preserve">ผู้ลงนามไม่ชัดว่ามีความสามารถอย่างไร</w:t>
      </w:r>
      <w:r>
        <w:rPr>
          <w:rFonts w:ascii="Sarabun" w:cs="Sarabun" w:eastAsia="Sarabun" w:hAnsi="Sarabun"/>
          <w:sz w:val="19"/>
          <w:szCs w:val="19"/>
        </w:rPr>
        <w:t xml:space="preserve"> — ข้อกำหนดใช้คำว่าผู้ที่มีความสามารถเหมาะสม จึงควรมีหลักฐานประกอบ</w:t>
      </w:r>
    </w:p>
    <w:p>
      <w:pPr>
        <w:pStyle w:val="ListParagraph"/>
        <w:numPr>
          <w:ilvl w:val="0"/>
          <w:numId w:val="2"/>
        </w:numPr>
        <w:spacing w:after="70"/>
      </w:pPr>
      <w:r>
        <w:rPr>
          <w:rFonts w:ascii="Sarabun" w:cs="Sarabun" w:eastAsia="Sarabun" w:hAnsi="Sarabun"/>
          <w:b/>
          <w:bCs/>
          <w:sz w:val="20"/>
          <w:szCs w:val="20"/>
        </w:rPr>
        <w:t xml:space="preserve">ออกใบเดียวใช้กับทุกสินค้าโดยที่วัตถุดิบและการใช้งานไม่เหมือนกัน</w:t>
      </w:r>
      <w:r>
        <w:rPr>
          <w:rFonts w:ascii="Sarabun" w:cs="Sarabun" w:eastAsia="Sarabun" w:hAnsi="Sarabun"/>
          <w:sz w:val="19"/>
          <w:szCs w:val="19"/>
        </w:rPr>
        <w:t xml:space="preserve"> — เอกสารแบบครอบคลุมกลุ่มสินค้าใช้ได้ </w:t>
      </w:r>
      <w:r>
        <w:rPr>
          <w:rFonts w:ascii="Sarabun" w:cs="Sarabun" w:eastAsia="Sarabun" w:hAnsi="Sarabun"/>
          <w:b/>
          <w:bCs/>
          <w:sz w:val="20"/>
          <w:szCs w:val="20"/>
        </w:rPr>
        <w:t xml:space="preserve">เฉพาะเมื่อวัตถุดิบและการใช้งานทั่วไปเหมือนกันทั้งกลุ่ม</w:t>
      </w:r>
    </w:p>
    <w:p>
      <w:pPr>
        <w:spacing w:after="100" w:before="0"/>
      </w:pPr>
      <w:r>
        <w:rPr>
          <w:rFonts w:ascii="Sarabun" w:cs="Sarabun" w:eastAsia="Sarabun" w:hAnsi="Sarabun"/>
          <w:sz w:val="20"/>
          <w:szCs w:val="20"/>
        </w:rPr>
        <w:t xml:space="preserve"/>
      </w:r>
    </w:p>
    <w:p>
      <w:pPr>
        <w:spacing w:after="0" w:before="0"/>
      </w:pPr>
      <w:r>
        <w:rPr>
          <w:rFonts w:ascii="Sarabun" w:cs="Sarabun" w:eastAsia="Sarabun" w:hAnsi="Sarabun"/>
          <w:color w:val="777777"/>
          <w:sz w:val="16"/>
          <w:szCs w:val="16"/>
        </w:rPr>
        <w:t xml:space="preserve">ชุดแบบฟอร์มนี้เป็นฉบับร่างเพื่อการทบทวน เรียบเรียงโดย SP Solution Center ด้วยถ้อยคำของเราเอง ไม่ใช่สำเนา คำแปล หรือคำตีความอย่างเป็นทางการของ BRCGS และไม่ใช่คำแนะนำทางกฎหมาย ตัวมาตรฐาน Packaging Materials Issue 7 และคู่มือตีความมีลิขสิทธิ์ ต้องซื้อจาก BRCGS · ให้ปรับให้ตรงกับสินค้าและกระบวนการของโรงงานคุณ และให้ผู้มีอำนาจอนุมัติก่อนประกาศใช้ · ห้ามนำไปจำหน่ายต่อ</w:t>
      </w:r>
    </w:p>
    <w:sectPr>
      <w:footerReference w:type="default" r:id="rId7"/>
      <w:pgSz w:w="11906" w:h="16838" w:orient="portrait"/>
      <w:pgMar w:top="900" w:right="1000" w:bottom="800" w:left="10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Sarabun" w:cs="Sarabun" w:eastAsia="Sarabun" w:hAnsi="Sarabun"/>
        <w:color w:val="777777"/>
        <w:sz w:val="15"/>
        <w:szCs w:val="15"/>
      </w:rPr>
      <w:t xml:space="preserve">ชุดแบบฟอร์ม Statement of Compliance · BRCGS Packaging Issue 7 ข้อ 3.4.3 · SP Solution Center · spsolutioncenter.com · หน้า </w:t>
    </w:r>
    <w:r>
      <w:rPr>
        <w:rFonts w:ascii="Sarabun" w:cs="Sarabun" w:eastAsia="Sarabun" w:hAnsi="Sarabun"/>
        <w:color w:val="777777"/>
        <w:sz w:val="15"/>
        <w:szCs w:val="15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40" w:hanging="23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Sarabun" w:cs="Sarabun" w:eastAsia="Sarabun" w:hAnsi="Sarabun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2026-09-06T11:54:12.090Z</dcterms:created>
  <dcterms:modified xsi:type="dcterms:W3CDTF">2026-09-06T11:54:12.091Z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