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แบบประเมินความเปราะบางต่อการปลอมปนวัตถุดิบ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Product Fraud Vulnerability Assessment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ชุดแบบฟอร์ม 5 ฉบับ · PFV-01 ถึง PFV-05 · เรียบเรียงตามข้อกำหนด BRCGS Packaging Materials Issue 7 ข้อ 3.7.1 และ 3.7.2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spsolutioncenter.com/articles/brcgs-packaging-product-fraud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110" w:before="0"/>
      </w:pPr>
      <w:r>
        <w:rPr>
          <w:rFonts w:ascii="Sarabun" w:cs="Sarabun" w:eastAsia="Sarabun" w:hAnsi="Sarabun"/>
          <w:sz w:val="19"/>
          <w:szCs w:val="19"/>
        </w:rPr>
        <w:t xml:space="preserve">ห้าฉบับนี้ทำงานต่อกันเป็นวงจร </w:t>
      </w:r>
      <w:r>
        <w:rPr>
          <w:rFonts w:ascii="Sarabun" w:cs="Sarabun" w:eastAsia="Sarabun" w:hAnsi="Sarabun"/>
          <w:b/>
          <w:bCs/>
          <w:sz w:val="19"/>
          <w:szCs w:val="19"/>
        </w:rPr>
        <w:t xml:space="preserve">PFV-01 คุมแหล่งข่าวกรอง</w:t>
      </w:r>
      <w:r>
        <w:rPr>
          <w:rFonts w:ascii="Sarabun" w:cs="Sarabun" w:eastAsia="Sarabun" w:hAnsi="Sarabun"/>
          <w:sz w:val="19"/>
          <w:szCs w:val="19"/>
        </w:rPr>
        <w:t xml:space="preserve"> (ตอบข้อ 3.7.1) → </w:t>
      </w:r>
      <w:r>
        <w:rPr>
          <w:rFonts w:ascii="Sarabun" w:cs="Sarabun" w:eastAsia="Sarabun" w:hAnsi="Sarabun"/>
          <w:b/>
          <w:bCs/>
          <w:sz w:val="19"/>
          <w:szCs w:val="19"/>
        </w:rPr>
        <w:t xml:space="preserve">PFV-02 คือแผนประเมินตัวจริง</w:t>
      </w:r>
      <w:r>
        <w:rPr>
          <w:rFonts w:ascii="Sarabun" w:cs="Sarabun" w:eastAsia="Sarabun" w:hAnsi="Sarabun"/>
          <w:sz w:val="19"/>
          <w:szCs w:val="19"/>
        </w:rPr>
        <w:t xml:space="preserve"> (ตอบข้อ 3.7.2) → </w:t>
      </w:r>
      <w:r>
        <w:rPr>
          <w:rFonts w:ascii="Sarabun" w:cs="Sarabun" w:eastAsia="Sarabun" w:hAnsi="Sarabun"/>
          <w:b/>
          <w:bCs/>
          <w:sz w:val="19"/>
          <w:szCs w:val="19"/>
        </w:rPr>
        <w:t xml:space="preserve">PFV-03 มาตรการควบคุมสำหรับรายการเสี่ยงสูง</w:t>
      </w:r>
      <w:r>
        <w:rPr>
          <w:rFonts w:ascii="Sarabun" w:cs="Sarabun" w:eastAsia="Sarabun" w:hAnsi="Sarabun"/>
          <w:sz w:val="19"/>
          <w:szCs w:val="19"/>
        </w:rPr>
        <w:t xml:space="preserve"> → </w:t>
      </w:r>
      <w:r>
        <w:rPr>
          <w:rFonts w:ascii="Sarabun" w:cs="Sarabun" w:eastAsia="Sarabun" w:hAnsi="Sarabun"/>
          <w:b/>
          <w:bCs/>
          <w:sz w:val="19"/>
          <w:szCs w:val="19"/>
        </w:rPr>
        <w:t xml:space="preserve">PFV-04 บันทึกการทบทวน</w:t>
      </w:r>
      <w:r>
        <w:rPr>
          <w:rFonts w:ascii="Sarabun" w:cs="Sarabun" w:eastAsia="Sarabun" w:hAnsi="Sarabun"/>
          <w:sz w:val="19"/>
          <w:szCs w:val="19"/>
        </w:rPr>
        <w:t xml:space="preserve"> → </w:t>
      </w:r>
      <w:r>
        <w:rPr>
          <w:rFonts w:ascii="Sarabun" w:cs="Sarabun" w:eastAsia="Sarabun" w:hAnsi="Sarabun"/>
          <w:b/>
          <w:bCs/>
          <w:sz w:val="19"/>
          <w:szCs w:val="19"/>
        </w:rPr>
        <w:t xml:space="preserve">PFV-05 ความรู้ของทีม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ข้อ 3.7.2 ระบุว่าการประเมินนี้</w:t>
      </w:r>
      <w:r>
        <w:rPr>
          <w:rFonts w:ascii="Sarabun" w:cs="Sarabun" w:eastAsia="Sarabun" w:hAnsi="Sarabun"/>
          <w:b/>
          <w:bCs/>
          <w:sz w:val="19"/>
          <w:szCs w:val="19"/>
        </w:rPr>
        <w:t xml:space="preserve">ไม่ได้ประเมินโอกาสที่จะเกิดการปลอมปนที่โรงงานเรา แต่ประเมินห่วงโซ่อุปทานว่ามีจุดอ่อนตรงไหน</w:t>
      </w:r>
      <w:r>
        <w:rPr>
          <w:rFonts w:ascii="Sarabun" w:cs="Sarabun" w:eastAsia="Sarabun" w:hAnsi="Sarabun"/>
          <w:sz w:val="19"/>
          <w:szCs w:val="19"/>
        </w:rPr>
        <w:t xml:space="preserve"> และมาตรฐาน</w:t>
      </w:r>
      <w:r>
        <w:rPr>
          <w:rFonts w:ascii="Sarabun" w:cs="Sarabun" w:eastAsia="Sarabun" w:hAnsi="Sarabun"/>
          <w:b/>
          <w:bCs/>
          <w:sz w:val="19"/>
          <w:szCs w:val="19"/>
        </w:rPr>
        <w:t xml:space="preserve">ไม่ได้กำหนดวิธีทำไว้ตายตัว</w:t>
      </w:r>
      <w:r>
        <w:rPr>
          <w:rFonts w:ascii="Sarabun" w:cs="Sarabun" w:eastAsia="Sarabun" w:hAnsi="Sarabun"/>
          <w:sz w:val="19"/>
          <w:szCs w:val="19"/>
        </w:rPr>
        <w:t xml:space="preserve"> แบบฟอร์มนี้จึงเป็นแนวทางหนึ่ง ไม่ใช่วิธีเดียวที่ถูกต้อง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PFV-01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ทะเบียนแหล่งข้อมูลภัยคุกคามการปลอมปน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ตอบข้อ 3.7.1 — บริษัทต้องมีกระบวนการเข้าถึงข้อมูลภัยคุกคามในอดีตและที่กำลังพัฒนาขึ้น ซึ่งอาจเป็นความเสี่ยงของการสับเปลี่ยน เจือปน หรือแสดงข้อมูลเท็จของวัตถุดิบ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2500"/>
        <w:gridCol w:w="1800"/>
        <w:gridCol w:w="1400"/>
        <w:gridCol w:w="1400"/>
      </w:tblGrid>
      <w:tr>
        <w:trPr>
          <w:tblHeader/>
        </w:trPr>
        <w:tc>
          <w:tcPr>
            <w:tcW w:type="dxa" w:w="2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ประเภทแหล่ง</w:t>
            </w:r>
          </w:p>
        </w:tc>
        <w:tc>
          <w:tcPr>
            <w:tcW w:type="dxa" w:w="2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ชื่อแหล่ง / ช่องทาง</w:t>
            </w:r>
          </w:p>
        </w:tc>
        <w:tc>
          <w:tcPr>
            <w:tcW w:type="dxa" w:w="1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ผู้รับผิดชอบติดตาม</w:t>
            </w:r>
          </w:p>
        </w:tc>
        <w:tc>
          <w:tcPr>
            <w:tcW w:type="dxa" w:w="1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ความถี่ในการดู</w:t>
            </w:r>
          </w:p>
        </w:tc>
        <w:tc>
          <w:tcPr>
            <w:tcW w:type="dxa" w:w="1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วันที่ดูล่าสุด</w:t>
            </w:r>
          </w:p>
        </w:tc>
      </w:tr>
      <w:tr>
        <w:tc>
          <w:tcPr>
            <w:tcW w:type="dxa" w:w="25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สมาคมการค้า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5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หน่วยงานภาครัฐ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5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ศูนย์ข้อมูลเอกชน / ผู้ให้บริการ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5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ข้อมูลจากผู้ส่งมอบ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25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อื่น ๆ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กลไกที่ข้อกำหนดยกตัวอย่างไว้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เป็นสมาชิกสมาคมการค้าที่ให้ข้อมูลประเภทนี้แก่สมาชิก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ขอความช่วยเหลือจากเจ้าหน้าที่ภาครัฐหรือหน่วยงานบังคับใช้กฎหมายในพื้นที่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สมัครใช้บริการผู้ให้บริการข้อมูลด้านนี้</w:t>
      </w:r>
    </w:p>
    <w:p>
      <w:pPr>
        <w:spacing w:after="80" w:before="0"/>
      </w:pPr>
      <w:r>
        <w:rPr>
          <w:rFonts w:ascii="Sarabun" w:cs="Sarabun" w:eastAsia="Sarabun" w:hAnsi="Sarabun"/>
          <w:sz w:val="18"/>
          <w:szCs w:val="18"/>
        </w:rPr>
        <w:t xml:space="preserve">คู่มือตีความระบุว่า 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มีทั้งแหล่งที่ให้ข้อมูลฟรีและแบบสมัครสมาชิก และโรงงานต้องแสดงแหล่งข้อมูลของตัวเองต่อผู้ตรวจได้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บันทึกการแปลงข้อมูลเป็นการกระทำ</w:t>
      </w:r>
    </w:p>
    <w:p>
      <w:pPr>
        <w:spacing w:after="70" w:before="0"/>
      </w:pPr>
      <w:r>
        <w:rPr>
          <w:rFonts w:ascii="Sarabun" w:cs="Sarabun" w:eastAsia="Sarabun" w:hAnsi="Sarabun"/>
          <w:sz w:val="18"/>
          <w:szCs w:val="18"/>
        </w:rPr>
        <w:t xml:space="preserve">ผู้ตรวจจะ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มองหาหลักฐานของการตรวจสอบอย่างเป็นระบบ และกระบวนการที่ทำให้ข้อมูลถูกแปลงเป็นการกระทำเมื่อจำเป็น</w:t>
      </w:r>
      <w:r>
        <w:rPr>
          <w:rFonts w:ascii="Sarabun" w:cs="Sarabun" w:eastAsia="Sarabun" w:hAnsi="Sarabun"/>
          <w:sz w:val="18"/>
          <w:szCs w:val="18"/>
        </w:rPr>
        <w:t xml:space="preserve"> — ตารางนี้คือหลักฐานนั้น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800"/>
        <w:gridCol w:w="1300"/>
        <w:gridCol w:w="1700"/>
        <w:gridCol w:w="1700"/>
        <w:gridCol w:w="1000"/>
      </w:tblGrid>
      <w:tr>
        <w:trPr>
          <w:tblHeader/>
        </w:trPr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วันที่</w:t>
            </w:r>
          </w:p>
        </w:tc>
        <w:tc>
          <w:tcPr>
            <w:tcW w:type="dxa" w:w="2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ข้อมูล / ข่าวที่พบ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แหล่ง</w:t>
            </w:r>
          </w:p>
        </w:tc>
        <w:tc>
          <w:tcPr>
            <w:tcW w:type="dxa" w:w="1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กระทบวัตถุดิบตัวไหน</w:t>
            </w:r>
          </w:p>
        </w:tc>
        <w:tc>
          <w:tcPr>
            <w:tcW w:type="dxa" w:w="1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การดำเนินการ</w:t>
            </w:r>
          </w:p>
        </w:tc>
        <w:tc>
          <w:tcPr>
            <w:tcW w:type="dxa" w:w="10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ผู้บันทึก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1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18"/>
          <w:szCs w:val="18"/>
        </w:rPr>
        <w:t xml:space="preserve">ถ้าตรวจแล้วไม่พบข้อมูลที่กระทบเรา 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ให้บันทึกว่าตรวจแล้วไม่พบ</w:t>
      </w:r>
      <w:r>
        <w:rPr>
          <w:rFonts w:ascii="Sarabun" w:cs="Sarabun" w:eastAsia="Sarabun" w:hAnsi="Sarabun"/>
          <w:sz w:val="18"/>
          <w:szCs w:val="18"/>
        </w:rPr>
        <w:t xml:space="preserve"> อย่าเว้นว่าง เพราะตารางว่างพิสูจน์ไม่ได้ว่าเคยตรวจ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PFV-02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แผนประเมินความเปราะบาง</w:t>
      </w:r>
    </w:p>
    <w:p>
      <w:pPr>
        <w:spacing w:after="12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ตอบข้อ 3.7.2 — ต้องประเมิน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วัตถุดิบทุกรายการ กลุ่มวัตถุดิบ หรือวัสดุบรรจุสินค้าสำเร็จรูป</w:t>
      </w:r>
      <w:r>
        <w:rPr>
          <w:rFonts w:ascii="Sarabun" w:cs="Sarabun" w:eastAsia="Sarabun" w:hAnsi="Sarabun"/>
          <w:color w:val="555555"/>
          <w:sz w:val="18"/>
          <w:szCs w:val="18"/>
        </w:rPr>
        <w:t xml:space="preserve"> โดยพิจารณาเจ็ดปัจจัยที่ข้อกำหนดระบุไว้ · คู่มือตีความอนุญาตให้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ประเมินเป็นกลุ่มได้ถ้าความเสี่ยงคล้ายกัน แต่วัตถุดิบทุกรายการต้องถูกประเมิน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เจ็ดปัจจัยที่ต้องพิจารณา — ให้คะแนน 1 ถึง 3 (1 = ต่ำ, 3 = สูง)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600"/>
        <w:gridCol w:w="5400"/>
      </w:tblGrid>
      <w:tr>
        <w:trPr>
          <w:tblHeader/>
        </w:trPr>
        <w:tc>
          <w:tcPr>
            <w:tcW w:type="dxa" w:w="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3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ปัจจัยตามข้อ 3.7.2</w:t>
            </w:r>
          </w:p>
        </w:tc>
        <w:tc>
          <w:tcPr>
            <w:tcW w:type="dxa" w:w="5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คำถามที่ใช้ตัดสิน</w:t>
            </w:r>
          </w:p>
        </w:tc>
      </w:tr>
      <w:tr>
        <w:tc>
          <w:tcPr>
            <w:tcW w:type="dxa" w:w="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หลักฐานในอดีตของการสับเปลี่ยน เจือปน หรือแสดงข้อมูลเท็จ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เคยมีข่าวหรือรายงานเรื่องนี้กับวัตถุดิบชนิดนี้หรือไม่</w:t>
            </w:r>
          </w:p>
        </w:tc>
      </w:tr>
      <w:tr>
        <w:tc>
          <w:tcPr>
            <w:tcW w:type="dxa" w:w="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ปัจจัยทางเศรษฐกิจที่ทำให้การปลอมปนน่าดึงดูดขึ้น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ราคาสูง ผันผวน หรือขาดตลาดหรือไม่</w:t>
            </w:r>
          </w:p>
        </w:tc>
      </w:tr>
      <w:tr>
        <w:tc>
          <w:tcPr>
            <w:tcW w:type="dxa" w:w="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ความง่ายในการเข้าถึงผ่านห่วงโซ่อุปทาน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ห่วงโซ่ยาวและมีคนกลางกี่ทอด</w:t>
            </w:r>
          </w:p>
        </w:tc>
      </w:tr>
      <w:tr>
        <w:tc>
          <w:tcPr>
            <w:tcW w:type="dxa" w:w="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ความซับซ้อนของการทดสอบตามปกติและการทดสอบต้นน้ำ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วิธีทดสอบที่เรามีจับการปลอมปนได้จริงไหม</w:t>
            </w:r>
          </w:p>
        </w:tc>
      </w:tr>
      <w:tr>
        <w:tc>
          <w:tcPr>
            <w:tcW w:type="dxa" w:w="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รูปแบบทางกายภาพ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อยู่ในรูปที่ผสมของปลอมแล้วมองไม่เห็นหรือไม่</w:t>
            </w:r>
          </w:p>
        </w:tc>
      </w:tr>
      <w:tr>
        <w:tc>
          <w:tcPr>
            <w:tcW w:type="dxa" w:w="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ความสัมพันธ์กับผู้ส่งมอบ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ซื้อตรงจากผู้ผลิตหรือผ่านคนกลาง รู้จักกันมานานแค่ไหน</w:t>
            </w:r>
          </w:p>
        </w:tc>
      </w:tr>
      <w:tr>
        <w:tc>
          <w:tcPr>
            <w:tcW w:type="dxa" w:w="6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3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ผลกระทบทางลบต่อผู้ใช้ปลายทางของสินค้าสำเร็จรูป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ถ้าปลอมปนแล้วเกิดอะไรกับผู้บริโภค</w:t>
            </w:r>
          </w:p>
        </w:tc>
      </w:tr>
    </w:tbl>
    <w:p>
      <w:pPr>
        <w:spacing w:after="80" w:before="0"/>
      </w:pPr>
      <w:r>
        <w:rPr>
          <w:rFonts w:ascii="Sarabun" w:cs="Sarabun" w:eastAsia="Sarabun" w:hAnsi="Sarabun"/>
          <w:sz w:val="18"/>
          <w:szCs w:val="18"/>
        </w:rPr>
        <w:t xml:space="preserve">ปัจจัยข้อ 5 สำคัญกับโรงงานบรรจุภัณฑ์เป็นพิเศษ คู่มือตีความยกตัวอย่างว่า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วัตถุดิบที่เป็นเม็ดหรือผงมีความเสี่ยงสูงกว่า เพราะการเติมของปลอมลงไปมองเห็นได้ยากกว่า</w:t>
      </w:r>
    </w:p>
    <w:p>
      <w:r>
        <w:br w:type="page"/>
      </w:r>
    </w:p>
    <w:p>
      <w:pPr>
        <w:spacing w:after="70" w:before="0"/>
      </w:pPr>
      <w:r>
        <w:rPr>
          <w:rFonts w:ascii="Sarabun" w:cs="Sarabun" w:eastAsia="Sarabun" w:hAnsi="Sarabun"/>
          <w:b/>
          <w:bCs/>
          <w:sz w:val="21"/>
          <w:szCs w:val="21"/>
        </w:rPr>
        <w:t xml:space="preserve">ตารางประเมิน — หนึ่งบรรทัดต่อวัตถุดิบหรือกลุ่มวัตถุดิบ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300"/>
        <w:gridCol w:w="1100"/>
        <w:gridCol w:w="420"/>
        <w:gridCol w:w="420"/>
        <w:gridCol w:w="420"/>
        <w:gridCol w:w="420"/>
        <w:gridCol w:w="420"/>
        <w:gridCol w:w="420"/>
        <w:gridCol w:w="420"/>
        <w:gridCol w:w="560"/>
        <w:gridCol w:w="1000"/>
      </w:tblGrid>
      <w:tr>
        <w:trPr>
          <w:tblHeader/>
        </w:trPr>
        <w:tc>
          <w:tcPr>
            <w:tcW w:type="dxa" w:w="1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วัตถุดิบ / กลุ่ม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ผู้ส่งมอบ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ประเทศต้นทาง</w:t>
            </w:r>
          </w:p>
        </w:tc>
        <w:tc>
          <w:tcPr>
            <w:tcW w:type="dxa" w:w="4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1</w:t>
            </w:r>
          </w:p>
        </w:tc>
        <w:tc>
          <w:tcPr>
            <w:tcW w:type="dxa" w:w="4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2</w:t>
            </w:r>
          </w:p>
        </w:tc>
        <w:tc>
          <w:tcPr>
            <w:tcW w:type="dxa" w:w="4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3</w:t>
            </w:r>
          </w:p>
        </w:tc>
        <w:tc>
          <w:tcPr>
            <w:tcW w:type="dxa" w:w="4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4</w:t>
            </w:r>
          </w:p>
        </w:tc>
        <w:tc>
          <w:tcPr>
            <w:tcW w:type="dxa" w:w="4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5</w:t>
            </w:r>
          </w:p>
        </w:tc>
        <w:tc>
          <w:tcPr>
            <w:tcW w:type="dxa" w:w="4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6</w:t>
            </w:r>
          </w:p>
        </w:tc>
        <w:tc>
          <w:tcPr>
            <w:tcW w:type="dxa" w:w="4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7</w:t>
            </w:r>
          </w:p>
        </w:tc>
        <w:tc>
          <w:tcPr>
            <w:tcW w:type="dxa" w:w="56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รวม</w:t>
            </w:r>
          </w:p>
        </w:tc>
        <w:tc>
          <w:tcPr>
            <w:tcW w:type="dxa" w:w="10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7"/>
                <w:szCs w:val="17"/>
              </w:rPr>
              <w:t xml:space="preserve">ระดับ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56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56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56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56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56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56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56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4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56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7"/>
                <w:szCs w:val="17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เกณฑ์จัดระดับและการดำเนินการ — ตามตัวอย่างที่คู่มือตีความให้ไว้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3900"/>
        <w:gridCol w:w="4800"/>
      </w:tblGrid>
      <w:tr>
        <w:trPr>
          <w:tblHeader/>
        </w:trPr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ระดับ</w:t>
            </w:r>
          </w:p>
        </w:tc>
        <w:tc>
          <w:tcPr>
            <w:tcW w:type="dxa" w:w="3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ลักษณะ</w:t>
            </w:r>
          </w:p>
        </w:tc>
        <w:tc>
          <w:tcPr>
            <w:tcW w:type="dxa" w:w="4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การดำเนินการที่ต้องทำ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สูง</w:t>
            </w:r>
          </w:p>
        </w:tc>
        <w:tc>
          <w:tcPr>
            <w:tcW w:type="dxa" w:w="3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วัตถุดิบที่มีรายงานการปลอมปนเผยแพร่ในช่วงที่ผ่านมา</w:t>
            </w:r>
          </w:p>
        </w:tc>
        <w:tc>
          <w:tcPr>
            <w:tcW w:type="dxa" w:w="4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ต้องมีการดำเนินการหรือการเฝ้าระวัง เพื่อให้มั่นใจว่าซื้อของแท้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กลาง</w:t>
            </w:r>
          </w:p>
        </w:tc>
        <w:tc>
          <w:tcPr>
            <w:tcW w:type="dxa" w:w="3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วัตถุดิบมูลค่าสูงที่เป็นเป้าหมายน่าดึงดูดของการเจือปน</w:t>
            </w:r>
          </w:p>
        </w:tc>
        <w:tc>
          <w:tcPr>
            <w:tcW w:type="dxa" w:w="4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ต้องมีการดำเนินการหรือการเฝ้าระวังบางส่วน เพื่อให้มั่นใจว่าซื้อของแท้</w:t>
            </w:r>
          </w:p>
        </w:tc>
      </w:tr>
      <w:tr>
        <w:tc>
          <w:tcPr>
            <w:tcW w:type="dxa" w:w="9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ต่ำ</w:t>
            </w:r>
          </w:p>
        </w:tc>
        <w:tc>
          <w:tcPr>
            <w:tcW w:type="dxa" w:w="3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ไม่น่าเป็นเป้าหมายของการสับเปลี่ยนหรือเจือปน</w:t>
            </w:r>
          </w:p>
        </w:tc>
        <w:tc>
          <w:tcPr>
            <w:tcW w:type="dxa" w:w="4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ไม่ต้องมีมาตรการเพิ่ม แต่อาจต้องประเมินใหม่หากมีข้อมูลใหม่เข้ามา</w:t>
            </w:r>
          </w:p>
        </w:tc>
      </w:tr>
    </w:tbl>
    <w:p>
      <w:pPr>
        <w:spacing w:after="8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ข้อมูลประกอบที่คู่มือแนะนำให้พิจารณาเพิ่ม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รายชื่อวัตถุดิบหรือกลุ่มวัตถุดิบ พร้อมมาตรการควบคุมที่มีอยู่แล้ว เช่นการทดสอบสินค้า ระบบสอบย้อนกลับ หรือการตรวจประเมินห่วงโซ่อุปทาน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ความยาวและความซับซ้อนของห่วงโซ่อุปทาน · ที่ตั้งของผู้ส่งมอบ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มูลค่าของวัตถุดิบ · ความพร้อมของวัตถุดิบในตลาด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ข้อมูลจากแหล่งที่ระบุไว้ใน PFV-01 สำหรับวัตถุดิบแต่ละรายการ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PFV-03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6"/>
          <w:szCs w:val="26"/>
        </w:rPr>
        <w:t xml:space="preserve">มาตรการควบคุมสำหรับรายการที่เสี่ยงสูงและปานกลาง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ข้อกำหนดต้องการให้มี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มาตรการควบคุมที่เหมาะสม เพื่อลดความเสี่ยงในการซื้อวัตถุดิบที่ถูกปลอมปน</w:t>
      </w:r>
      <w:r>
        <w:rPr>
          <w:rFonts w:ascii="Sarabun" w:cs="Sarabun" w:eastAsia="Sarabun" w:hAnsi="Sarabun"/>
          <w:color w:val="555555"/>
          <w:sz w:val="18"/>
          <w:szCs w:val="18"/>
        </w:rPr>
        <w:t xml:space="preserve"> — ตารางนี้ผูกผลจาก PFV-02 เข้ากับสิ่งที่จะทำจริง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800"/>
        <w:gridCol w:w="3000"/>
        <w:gridCol w:w="1400"/>
        <w:gridCol w:w="1000"/>
        <w:gridCol w:w="1700"/>
      </w:tblGrid>
      <w:tr>
        <w:trPr>
          <w:tblHeader/>
        </w:trPr>
        <w:tc>
          <w:tcPr>
            <w:tcW w:type="dxa" w:w="1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วัตถุดิบ</w:t>
            </w:r>
          </w:p>
        </w:tc>
        <w:tc>
          <w:tcPr>
            <w:tcW w:type="dxa" w:w="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ระดับ</w:t>
            </w:r>
          </w:p>
        </w:tc>
        <w:tc>
          <w:tcPr>
            <w:tcW w:type="dxa" w:w="30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มาตรการควบคุมที่จะใช้</w:t>
            </w:r>
          </w:p>
        </w:tc>
        <w:tc>
          <w:tcPr>
            <w:tcW w:type="dxa" w:w="1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ผู้รับผิดชอบ</w:t>
            </w:r>
          </w:p>
        </w:tc>
        <w:tc>
          <w:tcPr>
            <w:tcW w:type="dxa" w:w="10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ความถี่</w:t>
            </w:r>
          </w:p>
        </w:tc>
        <w:tc>
          <w:tcPr>
            <w:tcW w:type="dxa" w:w="17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หลักฐาน / บันทึก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7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8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3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ตัวอย่างมาตรการที่ใช้ได้จริงในโรงงานบรรจุภัณฑ์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ซื้อตรงจากผู้ผลิตแทนผ่านคนกลาง</w:t>
      </w:r>
      <w:r>
        <w:rPr>
          <w:rFonts w:ascii="Sarabun" w:cs="Sarabun" w:eastAsia="Sarabun" w:hAnsi="Sarabun"/>
          <w:sz w:val="19"/>
          <w:szCs w:val="19"/>
        </w:rPr>
        <w:t xml:space="preserve"> — ลดปัจจัยข้อ 3 และข้อ 6 พร้อมกัน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ขอใบรับรองรายล็อตที่ตรวจสอบย้อนกลับได้</w:t>
      </w:r>
      <w:r>
        <w:rPr>
          <w:rFonts w:ascii="Sarabun" w:cs="Sarabun" w:eastAsia="Sarabun" w:hAnsi="Sarabun"/>
          <w:sz w:val="19"/>
          <w:szCs w:val="19"/>
        </w:rPr>
        <w:t xml:space="preserve"> และเทียบเลขล็อตกับของที่รับจริง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สุ่มทดสอบยืนยันเอกลักษณ์ของวัสดุ</w:t>
      </w:r>
      <w:r>
        <w:rPr>
          <w:rFonts w:ascii="Sarabun" w:cs="Sarabun" w:eastAsia="Sarabun" w:hAnsi="Sarabun"/>
          <w:sz w:val="19"/>
          <w:szCs w:val="19"/>
        </w:rPr>
        <w:t xml:space="preserve"> เช่นตรวจชนิดเรซินหรือความหนาแน่น ไม่ใช่แค่ตรวจคุณสมบัติเชิงหน้าที่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ตรวจประเมินผู้ส่งมอบในสถานที่</w:t>
      </w:r>
      <w:r>
        <w:rPr>
          <w:rFonts w:ascii="Sarabun" w:cs="Sarabun" w:eastAsia="Sarabun" w:hAnsi="Sarabun"/>
          <w:sz w:val="19"/>
          <w:szCs w:val="19"/>
        </w:rPr>
        <w:t xml:space="preserve"> สำหรับวัตถุดิบที่ประเมินแล้วอยู่ระดับสูง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เฝ้าระวังราคาที่ต่ำผิดปกติ</w:t>
      </w:r>
      <w:r>
        <w:rPr>
          <w:rFonts w:ascii="Sarabun" w:cs="Sarabun" w:eastAsia="Sarabun" w:hAnsi="Sarabun"/>
          <w:sz w:val="19"/>
          <w:szCs w:val="19"/>
        </w:rPr>
        <w:t xml:space="preserve"> — ราคาที่ดีเกินจริงคือสัญญาณแรกของการปลอมปน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PFV-04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บันทึกการทบทวนแผนประเมิน</w:t>
      </w:r>
    </w:p>
    <w:p>
      <w:pPr>
        <w:spacing w:after="12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ข้อ 3.7.2 กำหนดว่าแผนต้อง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อยู่ภายใต้การทบทวนเพื่อสะท้อนสภาวะเศรษฐกิจและข้อมูลตลาดที่เปลี่ยนไป และต้องทบทวนอย่างเป็นทางการเป็นประจำทุกปี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000"/>
        <w:gridCol w:w="2600"/>
        <w:gridCol w:w="2500"/>
        <w:gridCol w:w="1300"/>
      </w:tblGrid>
      <w:tr>
        <w:trPr>
          <w:tblHeader/>
        </w:trPr>
        <w:tc>
          <w:tcPr>
            <w:tcW w:type="dxa" w:w="1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วันที่</w:t>
            </w:r>
          </w:p>
        </w:tc>
        <w:tc>
          <w:tcPr>
            <w:tcW w:type="dxa" w:w="20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ประเภท</w:t>
            </w:r>
          </w:p>
        </w:tc>
        <w:tc>
          <w:tcPr>
            <w:tcW w:type="dxa" w:w="26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สิ่งที่กระตุ้นให้ทบทวน</w:t>
            </w:r>
          </w:p>
        </w:tc>
        <w:tc>
          <w:tcPr>
            <w:tcW w:type="dxa" w:w="2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ผลการทบทวน / สิ่งที่แก้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ผู้ทบทวน</w:t>
            </w:r>
          </w:p>
        </w:tc>
      </w:tr>
      <w:tr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☐ ประจำปี  ☐ เหตุการณ์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☐ ประจำปี  ☐ เหตุการณ์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☐ ประจำปี  ☐ เหตุการณ์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0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☐ ประจำปี  ☐ เหตุการณ์</w:t>
            </w:r>
          </w:p>
        </w:tc>
        <w:tc>
          <w:tcPr>
            <w:tcW w:type="dxa" w:w="2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เหตุการณ์ที่กระตุ้นให้ทบทวน — ตามที่คู่มือตีความยกไว้ (ไม่ใช่รายการสมบูรณ์)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เปลี่ยนประเทศต้นทาง หรือเปลี่ยนผู้ส่งมอบวัตถุดิบ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สถานะทางการเงินของผู้ส่งมอบหรือของประเทศต้นทางเปลี่ยนไป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ต้นทุนวัตถุดิบเปลี่ยน ไม่ว่าจะขึ้นหรือลง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ห่วงโซ่อุปทาน การขนส่ง หรือการส่งมอบวัสดุเปลี่ยนไป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ความพร้อมของวัตถุดิบในตลาดเปลี่ยนไป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เกิดความเสี่ยงใหม่ เช่นมีการสับเปลี่ยนวัตถุดิบที่เป็นที่รู้กัน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ข้อมูลทางวิทยาศาสตร์ใหม่ที่เกี่ยวกับวัสดุ กระบวนการ หรือสินค้า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sz w:val="19"/>
          <w:szCs w:val="19"/>
        </w:rPr>
        <w:t xml:space="preserve">ข้อมูลที่ได้รับระหว่างการอนุมัติผู้ส่งมอบ ซึ่งชี้ให้เห็นความเสี่ยงใหม่หรือความเสี่ยงที่กำลังก่อตัว</w:t>
      </w:r>
    </w:p>
    <w:p>
      <w:pPr>
        <w:spacing w:after="60" w:before="0"/>
      </w:pPr>
      <w:r>
        <w:rPr>
          <w:rFonts w:ascii="Sarabun" w:cs="Sarabun" w:eastAsia="Sarabun" w:hAnsi="Sarabun"/>
          <w:sz w:val="18"/>
          <w:szCs w:val="18"/>
        </w:rPr>
        <w:t xml:space="preserve">ข้อสังเกต: 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ต้นทุนที่ลดลงก็เป็นสัญญาณ</w:t>
      </w:r>
      <w:r>
        <w:rPr>
          <w:rFonts w:ascii="Sarabun" w:cs="Sarabun" w:eastAsia="Sarabun" w:hAnsi="Sarabun"/>
          <w:sz w:val="18"/>
          <w:szCs w:val="18"/>
        </w:rPr>
        <w:t xml:space="preserve"> ไม่ใช่เฉพาะต้นทุนที่สูงขึ้น — เป็นจุดที่โรงงานมักมองข้าม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PFV-05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ความรู้ของทีมผู้ประเมิน</w:t>
      </w:r>
    </w:p>
    <w:p>
      <w:pPr>
        <w:spacing w:after="12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ข้อกำหนดระบุว่า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บุคลากรที่เกี่ยวข้องกับการประเมินความเปราะบางควรเข้าใจความเสี่ยงการปลอมปนที่อาจเกิดขึ้น</w:t>
      </w:r>
      <w:r>
        <w:rPr>
          <w:rFonts w:ascii="Sarabun" w:cs="Sarabun" w:eastAsia="Sarabun" w:hAnsi="Sarabun"/>
          <w:color w:val="555555"/>
          <w:sz w:val="18"/>
          <w:szCs w:val="18"/>
        </w:rPr>
        <w:t xml:space="preserve"> และคู่มือตีความระบุว่า</w:t>
      </w:r>
      <w:r>
        <w:rPr>
          <w:rFonts w:ascii="Sarabun" w:cs="Sarabun" w:eastAsia="Sarabun" w:hAnsi="Sarabun"/>
          <w:b/>
          <w:bCs/>
          <w:color w:val="555555"/>
          <w:sz w:val="18"/>
          <w:szCs w:val="18"/>
        </w:rPr>
        <w:t xml:space="preserve">มาตรฐานไม่ได้กำหนดวิธีแสดงความรู้นั้นไว้ตายตัว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สามเรื่องที่ทีมต้องมีความรู้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2400"/>
        <w:gridCol w:w="2400"/>
      </w:tblGrid>
      <w:tr>
        <w:trPr>
          <w:tblHeader/>
        </w:trPr>
        <w:tc>
          <w:tcPr>
            <w:tcW w:type="dxa" w:w="4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เรื่อง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สมาชิกที่มีความรู้เรื่องนี้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หลักฐาน</w:t>
            </w:r>
          </w:p>
        </w:tc>
      </w:tr>
      <w:tr>
        <w:tc>
          <w:tcPr>
            <w:tcW w:type="dxa" w:w="4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หลักการของการปลอมปนสินค้า — คืออะไร และทำไมการจัดการเรื่องนี้จึงสำคัญ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เทคนิคการประเมินความเสี่ยงหรือการประเมินความเปราะบาง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4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ความเสี่ยงที่เกี่ยวข้องกับวัตถุดิบ สินค้า ห่วงโซ่อุปทาน หรือกระบวนการผลิตของเรา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วิธีแสดงความรู้ที่คู่มือยกตัวอย่างไว้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การอบรมอย่างเป็นทางการ</w:t>
      </w:r>
      <w:r>
        <w:rPr>
          <w:rFonts w:ascii="Sarabun" w:cs="Sarabun" w:eastAsia="Sarabun" w:hAnsi="Sarabun"/>
          <w:sz w:val="19"/>
          <w:szCs w:val="19"/>
        </w:rPr>
        <w:t xml:space="preserve"> เช่นหลักสูตรด้านการปลอมปนสินค้า การประเมินความเปราะบาง หรือ VACCP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การอบรมภายใน การพัฒนา และประสบการณ์</w:t>
      </w:r>
      <w:r>
        <w:rPr>
          <w:rFonts w:ascii="Sarabun" w:cs="Sarabun" w:eastAsia="Sarabun" w:hAnsi="Sarabun"/>
          <w:sz w:val="19"/>
          <w:szCs w:val="19"/>
        </w:rPr>
        <w:t xml:space="preserve"> เช่นความรู้เกี่ยวกับโรงงานที่แสดงให้เห็นได้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ความเข้าใจอย่างครบถ้วนเรื่องการประเมินความเปราะบางและการนำไปปฏิบัติ</w:t>
      </w:r>
    </w:p>
    <w:p>
      <w:pPr>
        <w:spacing w:after="8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องค์ประกอบของทีม — ใครรู้อะไร</w:t>
      </w:r>
    </w:p>
    <w:p>
      <w:pPr>
        <w:spacing w:after="70" w:before="0"/>
      </w:pPr>
      <w:r>
        <w:rPr>
          <w:rFonts w:ascii="Sarabun" w:cs="Sarabun" w:eastAsia="Sarabun" w:hAnsi="Sarabun"/>
          <w:sz w:val="18"/>
          <w:szCs w:val="18"/>
        </w:rPr>
        <w:t xml:space="preserve">คู่มือระบุว่าการประเมินทำได้ทั้ง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โดยบุคคลที่รับผิดชอบ หรือโดยทีม</w:t>
      </w:r>
      <w:r>
        <w:rPr>
          <w:rFonts w:ascii="Sarabun" w:cs="Sarabun" w:eastAsia="Sarabun" w:hAnsi="Sarabun"/>
          <w:sz w:val="18"/>
          <w:szCs w:val="18"/>
        </w:rPr>
        <w:t xml:space="preserve"> ข้อดีของการใช้ทีมคือแต่ละแผนกมีข้อมูลที่เป็นประโยชน์คนละด้าน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400"/>
        <w:gridCol w:w="2400"/>
      </w:tblGrid>
      <w:tr>
        <w:trPr>
          <w:tblHeader/>
        </w:trPr>
        <w:tc>
          <w:tcPr>
            <w:tcW w:type="dxa" w:w="18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แผนก</w:t>
            </w:r>
          </w:p>
        </w:tc>
        <w:tc>
          <w:tcPr>
            <w:tcW w:type="dxa" w:w="5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ข้อมูลที่มักรู้ดีที่สุด</w:t>
            </w:r>
          </w:p>
        </w:tc>
        <w:tc>
          <w:tcPr>
            <w:tcW w:type="dxa" w:w="24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9"/>
                <w:szCs w:val="19"/>
              </w:rPr>
              <w:t xml:space="preserve">ผู้แทนในทีม</w:t>
            </w:r>
          </w:p>
        </w:tc>
      </w:tr>
      <w:tr>
        <w:tc>
          <w:tcPr>
            <w:tcW w:type="dxa" w:w="1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จัดซื้อ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ความพร้อมของวัตถุดิบและประเด็นด้านราคา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ประกันคุณภาพ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มักเป็นผู้เชี่ยวชาญเฉพาะเรื่อง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อนุมัติผู้ส่งมอบ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ข้อมูลวัตถุดิบเฉพาะราย ผู้ส่งมอบ และห่วงโซ่อุปทาน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80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sz w:val="18"/>
                <w:szCs w:val="18"/>
              </w:rPr>
              <w:t xml:space="preserve">รับเข้าและผลิต</w:t>
            </w:r>
          </w:p>
        </w:tc>
        <w:tc>
          <w:tcPr>
            <w:tcW w:type="dxa" w:w="5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เห็นวัสดุที่ส่งมาถึงโรงงานจริง</w:t>
            </w:r>
          </w:p>
        </w:tc>
        <w:tc>
          <w:tcPr>
            <w:tcW w:type="dxa" w:w="24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70" w:before="0"/>
      </w:pPr>
      <w:r>
        <w:rPr>
          <w:rFonts w:ascii="Sarabun" w:cs="Sarabun" w:eastAsia="Sarabun" w:hAnsi="Sarabun"/>
          <w:sz w:val="18"/>
          <w:szCs w:val="18"/>
        </w:rPr>
        <w:t xml:space="preserve">คู่มือระบุว่า </w:t>
      </w:r>
      <w:r>
        <w:rPr>
          <w:rFonts w:ascii="Sarabun" w:cs="Sarabun" w:eastAsia="Sarabun" w:hAnsi="Sarabun"/>
          <w:b/>
          <w:bCs/>
          <w:sz w:val="18"/>
          <w:szCs w:val="18"/>
        </w:rPr>
        <w:t xml:space="preserve">ถ้าโรงงานไม่มีความรู้ภายในที่เหมาะสม สามารถใช้ผู้เชี่ยวชาญภายนอกได้</w:t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00"/>
      </w:tblGrid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ผู้จัดทำแผน / ตำแหน่ง / วันที่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ผู้อนุมัติแผน / ตำแหน่ง / วันที่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4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วันที่ทบทวนประจำปีครั้งถัดไป</w:t>
            </w:r>
          </w:p>
        </w:tc>
        <w:tc>
          <w:tcPr>
            <w:tcW w:type="dxa" w:w="6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หกข้อผิดพลาดที่พบบ่อยตอนตรวจ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ประเมินความเสี่ยงว่าเราจะโกงเอง</w:t>
      </w:r>
      <w:r>
        <w:rPr>
          <w:rFonts w:ascii="Sarabun" w:cs="Sarabun" w:eastAsia="Sarabun" w:hAnsi="Sarabun"/>
          <w:sz w:val="19"/>
          <w:szCs w:val="19"/>
        </w:rPr>
        <w:t xml:space="preserve"> — ข้อกำหนดต้องการให้ตรวจสอบ</w:t>
      </w:r>
      <w:r>
        <w:rPr>
          <w:rFonts w:ascii="Sarabun" w:cs="Sarabun" w:eastAsia="Sarabun" w:hAnsi="Sarabun"/>
          <w:b/>
          <w:bCs/>
          <w:sz w:val="20"/>
          <w:szCs w:val="20"/>
        </w:rPr>
        <w:t xml:space="preserve">ห่วงโซ่อุปทาน</w:t>
      </w:r>
      <w:r>
        <w:rPr>
          <w:rFonts w:ascii="Sarabun" w:cs="Sarabun" w:eastAsia="Sarabun" w:hAnsi="Sarabun"/>
          <w:sz w:val="19"/>
          <w:szCs w:val="19"/>
        </w:rPr>
        <w:t xml:space="preserve">ว่ามีจุดอ่อนตรงไหน ไม่ใช่ประเมินโอกาสเกิดการปลอมปนที่โรงงานเรา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ประเมินไม่ครบทุกวัตถุดิบ</w:t>
      </w:r>
      <w:r>
        <w:rPr>
          <w:rFonts w:ascii="Sarabun" w:cs="Sarabun" w:eastAsia="Sarabun" w:hAnsi="Sarabun"/>
          <w:sz w:val="19"/>
          <w:szCs w:val="19"/>
        </w:rPr>
        <w:t xml:space="preserve"> — คู่มือระบุว่าวัสดุทุกรายการควรถูกประเมิน จะรวมเป็นกลุ่มได้ก็ต่อเมื่อความเสี่ยงคล้ายกัน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ลืมวัสดุบรรจุสินค้าสำเร็จรูป</w:t>
      </w:r>
      <w:r>
        <w:rPr>
          <w:rFonts w:ascii="Sarabun" w:cs="Sarabun" w:eastAsia="Sarabun" w:hAnsi="Sarabun"/>
          <w:sz w:val="19"/>
          <w:szCs w:val="19"/>
        </w:rPr>
        <w:t xml:space="preserve"> — ข้อกำหนดระบุไว้ชัดว่าครอบคลุมถึง finished product packing materials ด้วย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มีแหล่งข้อมูลแต่ไม่มีบันทึกว่าเคยดู</w:t>
      </w:r>
      <w:r>
        <w:rPr>
          <w:rFonts w:ascii="Sarabun" w:cs="Sarabun" w:eastAsia="Sarabun" w:hAnsi="Sarabun"/>
          <w:sz w:val="19"/>
          <w:szCs w:val="19"/>
        </w:rPr>
        <w:t xml:space="preserve"> — ผู้ตรวจมองหาหลักฐานการตรวจสอบอย่างเป็นระบบ ไม่ใช่แค่รายชื่อเว็บไซต์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ไม่ได้ทบทวนประจำปี</w:t>
      </w:r>
      <w:r>
        <w:rPr>
          <w:rFonts w:ascii="Sarabun" w:cs="Sarabun" w:eastAsia="Sarabun" w:hAnsi="Sarabun"/>
          <w:sz w:val="19"/>
          <w:szCs w:val="19"/>
        </w:rPr>
        <w:t xml:space="preserve"> — ข้อกำหนดใช้คำว่าต้องทบทวนอย่างเป็นทางการเป็นประจำทุกปี ซึ่งชัดเจนกว่าเรื่องรอบทบทวนของข้ออื่น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rFonts w:ascii="Sarabun" w:cs="Sarabun" w:eastAsia="Sarabun" w:hAnsi="Sarabun"/>
          <w:b/>
          <w:bCs/>
          <w:sz w:val="20"/>
          <w:szCs w:val="20"/>
        </w:rPr>
        <w:t xml:space="preserve">ทีมไม่มีหลักฐานความรู้</w:t>
      </w:r>
      <w:r>
        <w:rPr>
          <w:rFonts w:ascii="Sarabun" w:cs="Sarabun" w:eastAsia="Sarabun" w:hAnsi="Sarabun"/>
          <w:sz w:val="19"/>
          <w:szCs w:val="19"/>
        </w:rPr>
        <w:t xml:space="preserve"> — มาตรฐานไม่กำหนดวิธี แต่ต้องแสดงได้ว่ามีความรู้ทั้งสามเรื่อง</w:t>
      </w:r>
    </w:p>
    <w:p>
      <w:pPr>
        <w:spacing w:after="10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0" w:before="0"/>
      </w:pPr>
      <w:r>
        <w:rPr>
          <w:rFonts w:ascii="Sarabun" w:cs="Sarabun" w:eastAsia="Sarabun" w:hAnsi="Sarabun"/>
          <w:color w:val="777777"/>
          <w:sz w:val="16"/>
          <w:szCs w:val="16"/>
        </w:rPr>
        <w:t xml:space="preserve">ชุดแบบฟอร์มนี้เป็นฉบับร่างเพื่อการทบทวน เรียบเรียงโดย SP Solution Center ด้วยถ้อยคำของเราเอง ไม่ใช่สำเนา คำแปล หรือคำตีความอย่างเป็นทางการของ BRCGS และไม่ใช่คำแนะนำทางกฎหมาย ตัวมาตรฐาน Packaging Materials Issue 7 และคู่มือตีความมีลิขสิทธิ์ ต้องซื้อจาก BRCGS · มาตรฐานไม่ได้กำหนดวิธีทำการประเมินไว้ตายตัว วิธีให้คะแนนในแบบฟอร์มนี้เป็นแนวทางหนึ่งเท่านั้น ให้ปรับให้ตรงกับวัตถุดิบและห่วงโซ่อุปทานของโรงงานคุณ และให้ผู้มีอำนาจอนุมัติก่อนประกาศใช้ · ห้ามนำไปจำหน่ายต่อ</w:t>
      </w:r>
    </w:p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ชุดแบบประเมินความเปราะบางต่อการปลอมปน · BRCGS Packaging Issue 7 ข้อ 3.7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2026-09-06T12:09:57.967Z</dcterms:created>
  <dcterms:modified xsi:type="dcterms:W3CDTF">2026-09-06T12:09:57.968Z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