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</w:pPr>
      <w:r>
        <w:drawing>
          <wp:inline distT="0" distB="0" distL="0" distR="0">
            <wp:extent cx="361950" cy="4191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 w:before="0"/>
      </w:pPr>
      <w:r>
        <w:rPr>
          <w:rFonts w:ascii="Consolas" w:cs="Consolas" w:eastAsia="Consolas" w:hAnsi="Consolas"/>
          <w:b/>
          <w:bCs/>
          <w:color w:val="E8622A"/>
          <w:sz w:val="16"/>
          <w:szCs w:val="16"/>
        </w:rPr>
        <w:t xml:space="preserve">ชุดแบบฟอร์มร่าง · แจกฟรี ไม่ต้องสมัครสมาชิก</w:t>
      </w:r>
    </w:p>
    <w:p>
      <w:pPr>
        <w:spacing w:after="20" w:before="0"/>
      </w:pPr>
      <w:r>
        <w:rPr>
          <w:rFonts w:ascii="Sarabun" w:cs="Sarabun" w:eastAsia="Sarabun" w:hAnsi="Sarabun"/>
          <w:b/>
          <w:bCs/>
          <w:sz w:val="32"/>
          <w:szCs w:val="32"/>
        </w:rPr>
        <w:t xml:space="preserve">ใบตรวจหลักฐาน 5.1–5.2 — การออกแบบผลิตภัณฑ์และการติดฉลาก</w:t>
      </w:r>
    </w:p>
    <w:p>
      <w:pPr>
        <w:spacing w:after="50" w:before="0"/>
      </w:pPr>
      <w:r>
        <w:rPr>
          <w:rFonts w:ascii="Sarabun" w:cs="Sarabun" w:eastAsia="Sarabun" w:hAnsi="Sarabun"/>
          <w:b/>
          <w:bCs/>
          <w:color w:val="1F4E79"/>
          <w:sz w:val="24"/>
          <w:szCs w:val="24"/>
        </w:rPr>
        <w:t xml:space="preserve">Product Design, Development and Labelling</w:t>
      </w:r>
    </w:p>
    <w:p>
      <w:pPr>
        <w:spacing w:after="17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ตอนที่ 23 — การออกแบบผลิตภัณฑ์และการติดฉลาก · แบบฟอร์ม 1 ฉบับ (FB-23) · เรียบเรียงจากประสบการณ์ที่ปรึกษาของ SP Solution Center · ใช้คู่กับบทความ </w:t>
      </w:r>
      <w:r>
        <w:rPr>
          <w:rFonts w:ascii="Consolas" w:cs="Consolas" w:eastAsia="Consolas" w:hAnsi="Consolas"/>
          <w:color w:val="1F4E79"/>
          <w:sz w:val="16"/>
          <w:szCs w:val="16"/>
        </w:rPr>
        <w:t xml:space="preserve">spsolutioncenter.com/articles/brcgs-food-23-product-design-label</w:t>
      </w:r>
    </w:p>
    <w:p>
      <w:pPr>
        <w:pStyle w:val="Heading2"/>
        <w:spacing w:after="100" w:before="240"/>
      </w:pPr>
      <w:r>
        <w:rPr>
          <w:rFonts w:ascii="Sarabun" w:cs="Sarabun" w:eastAsia="Sarabun" w:hAnsi="Sarabun"/>
          <w:b/>
          <w:bCs/>
          <w:color w:val="1F4E79"/>
          <w:sz w:val="26"/>
          <w:szCs w:val="26"/>
        </w:rPr>
        <w:t xml:space="preserve">วิธีใช้ชุดนี้</w:t>
      </w:r>
    </w:p>
    <w:p>
      <w:pPr>
        <w:spacing w:after="80" w:before="0"/>
      </w:pPr>
      <w:r>
        <w:rPr>
          <w:rFonts w:ascii="Sarabun" w:cs="Sarabun" w:eastAsia="Sarabun" w:hAnsi="Sarabun"/>
          <w:sz w:val="19"/>
          <w:szCs w:val="19"/>
        </w:rPr>
        <w:t xml:space="preserve">ใช้ไล่ก่อนการตรวจติดตามภายในและก่อนวันตรวจจากหน่วยรับรอง โดยเปิดหลักฐานดูจริงทุกบรรทัด ไม่ใช่ทำเครื่องหมายจากความทรงจำว่าโรงงานน่าจะมีเอกสารอยู่</w:t>
      </w:r>
    </w:p>
    <w:p>
      <w:pPr>
        <w:spacing w:after="80" w:before="0"/>
      </w:pPr>
      <w:r>
        <w:rPr>
          <w:rFonts w:ascii="Sarabun" w:cs="Sarabun" w:eastAsia="Sarabun" w:hAnsi="Sarabun"/>
          <w:sz w:val="19"/>
          <w:szCs w:val="19"/>
        </w:rPr>
        <w:t xml:space="preserve">คอลัมน์ตรวจที่ บอกว่าข้อนั้นถูกตรวจที่เอกสาร ที่หน้างาน หรือทั้งสองอย่าง บรรทัดที่เขียนว่าทั้งสอง คือบรรทัดที่ต้องยืนยันว่าเอกสารกับสิ่งที่ทำจริงตรงกัน</w:t>
      </w:r>
    </w:p>
    <w:p>
      <w:pPr>
        <w:spacing w:after="80" w:before="0"/>
      </w:pPr>
      <w:r>
        <w:rPr>
          <w:rFonts w:ascii="Sarabun" w:cs="Sarabun" w:eastAsia="Sarabun" w:hAnsi="Sarabun"/>
          <w:sz w:val="19"/>
          <w:szCs w:val="19"/>
        </w:rPr>
        <w:t xml:space="preserve">บรรทัดที่ยังไม่มีหลักฐาน ให้ยกไปตั้งเป็นงานพร้อมผู้รับผิดชอบและกำหนดเสร็จทันที โดยไม่ต้องรอให้ไล่ครบทั้งใบ</w:t>
      </w:r>
    </w:p>
    <w:p>
      <w:pPr>
        <w:spacing w:after="60" w:before="0"/>
      </w:pPr>
      <w:r>
        <w:rPr>
          <w:rFonts w:ascii="Sarabun" w:cs="Sarabun" w:eastAsia="Sarabun" w:hAnsi="Sarabun"/>
          <w:b/>
          <w:bCs/>
          <w:color w:val="B3261E"/>
          <w:sz w:val="20"/>
          <w:szCs w:val="20"/>
        </w:rPr>
        <w:t xml:space="preserve">ข้อควรรู้ก่อนใช้ · </w:t>
      </w:r>
      <w:r>
        <w:rPr>
          <w:rFonts w:ascii="Sarabun" w:cs="Sarabun" w:eastAsia="Sarabun" w:hAnsi="Sarabun"/>
          <w:sz w:val="19"/>
          <w:szCs w:val="19"/>
        </w:rPr>
        <w:t xml:space="preserve">รายการหลักฐานในใบตรวจนี้เรียบเรียงจากประสบการณ์ที่ปรึกษาของเรา ไม่ใช่เอกสารของ BRCGS ไม่ใช่เช็กลิสต์การตรวจของหน่วยรับรอง และไม่ใช่การรับประกันผลการตรวจ หลักฐานที่ผู้ตรวจขอดูจริงขึ้นกับลักษณะโรงงานและดุลยพินิจของผู้ตรวจ ให้อ่านถ้อยคำของข้อกำหนดจากมาตรฐานฉบับที่โรงงานถืออยู่ ให้ปรับให้ตรงกับผลิตภัณฑ์ ขนาดโรงงาน กฎหมายไทย และข้อกำหนดของหน่วยรับรองหรือลูกค้า และให้ผู้มีอำนาจอนุมัติก่อนประกาศใช้ · ห้ามนำไปจำหน่ายต่อ</w:t>
      </w:r>
    </w:p>
    <w:p>
      <w:r>
        <w:br w:type="page"/>
      </w:r>
    </w:p>
    <w:p>
      <w:pPr>
        <w:spacing w:after="30" w:before="0"/>
      </w:pPr>
      <w:r>
        <w:rPr>
          <w:rFonts w:ascii="Consolas" w:cs="Consolas" w:eastAsia="Consolas" w:hAnsi="Consolas"/>
          <w:b/>
          <w:bCs/>
          <w:color w:val="E8622A"/>
          <w:sz w:val="18"/>
          <w:szCs w:val="18"/>
        </w:rPr>
        <w:t xml:space="preserve">FB-23</w:t>
      </w:r>
    </w:p>
    <w:p>
      <w:pPr>
        <w:spacing w:after="40" w:before="0"/>
      </w:pPr>
      <w:r>
        <w:rPr>
          <w:rFonts w:ascii="Sarabun" w:cs="Sarabun" w:eastAsia="Sarabun" w:hAnsi="Sarabun"/>
          <w:b/>
          <w:bCs/>
          <w:sz w:val="28"/>
          <w:szCs w:val="28"/>
        </w:rPr>
        <w:t xml:space="preserve">ใบตรวจหลักฐาน 5.1–5.2 — การออกแบบผลิตภัณฑ์และการติดฉลาก</w:t>
      </w:r>
    </w:p>
    <w:p>
      <w:pPr>
        <w:spacing w:after="13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ใช้ไล่หลักฐานของข้อ 5.1 และ 5.2 ทั้งแปดข้อย่อย ตั้งแต่ระเบียบปฏิบัติการพัฒนาผลิตภัณฑ์ใหม่ การอนุมัติโดยทีม HACCP การทดลองผลิต การกำหนดอายุการเก็บรักษา จนถึงการทวนสอบความถูกต้องของข้อมูลบนฉลากและการอนุมัติอาร์ตเวิร์ก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เลขที่เอกสาร / ฉบับที่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วันที่บังคับใช้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หน่วยงาน / แผนก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ชื่อโรงงาน / ไซต์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ขอบข่ายที่ตรวจ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ผู้ตรวจสอบ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50"/>
        <w:gridCol w:w="900"/>
        <w:gridCol w:w="4050"/>
        <w:gridCol w:w="1500"/>
        <w:gridCol w:w="1300"/>
        <w:gridCol w:w="1100"/>
      </w:tblGrid>
      <w:tr>
        <w:trPr>
          <w:tblHeader/>
        </w:trPr>
        <w:tc>
          <w:tcPr>
            <w:tcW w:type="dxa" w:w="7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9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ตรวจที่</w:t>
            </w:r>
          </w:p>
        </w:tc>
        <w:tc>
          <w:tcPr>
            <w:tcW w:type="dxa" w:w="40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หลักฐานที่ต้องเตรียม</w:t>
            </w:r>
          </w:p>
        </w:tc>
        <w:tc>
          <w:tcPr>
            <w:tcW w:type="dxa" w:w="15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จัดเก็บที่</w:t>
            </w:r>
          </w:p>
        </w:tc>
        <w:tc>
          <w:tcPr>
            <w:tcW w:type="dxa" w:w="13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1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สถานะ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ระเบียบปฏิบัติการพัฒนาผลิตภัณฑ์ใหม่และการเปลี่ยนแปลงผลิตภัณฑ์เดิม ที่ครอบคลุมทั้งสูตร บรรจุภัณฑ์ และกระบวนการผลิต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เอกสารระบุข้อจำกัดของขอบเขตการพัฒนา เช่น รายการสารก่อภูมิแพ้ที่ไม่รับเข้าไซต์ หรือการห้ามใช้บรรจุภัณฑ์แก้ว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ผังขั้นตอนการพัฒนาผลิตภัณฑ์ที่ระบุจุดตัดสินใจ ผู้อนุมัติแต่ละขั้น และเอกสารที่ต้องมีในแต่ละขั้น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ตัวอย่างโครงการพัฒนาผลิตภัณฑ์ที่ปิดแล้วสองถึงสามโครงการ พร้อมเอกสารครบตามระเบียบปฏิบัติ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บันทึกการทบทวนคำกล่าวอ้างของผลิตภัณฑ์เดิมที่ผลิตในพื้นที่เดียวกัน เมื่อมีการนำวัตถุดิบใหม่เข้ามา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5.1.2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แบบฟอร์มขออนุมัติการเปลี่ยนแปลงที่ลงนามโดยหัวหน้าทีม HACCP พร้อมวันที่ที่เห็นได้ว่าก่อนวันทดลองผลิต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5.1.2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เอกสารมอบอำนาจระบุชื่อสมาชิกทีม HACCP ที่มีอำนาจลงนามแทน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5.1.2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บันทึกการประเมินอันตรายของผลิตภัณฑ์หรือการเปลี่ยนแปลงนั้น พร้อมมาตรการควบคุมที่กำหนด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5.1.2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บันทึกกรณีที่ประเมินแล้วไม่ต้องแก้แผน HACCP พร้อมเหตุผลประกอบ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5.1.2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สรุปเหตุผลด้านความปลอดภัยของผลิตภัณฑ์ใหม่ เช่น ค่าความเป็นกรดด่าง ค่าวอเตอร์แอกทิวิตี หรือสภาวะการฆ่าเชื้อที่ใช้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5.1.3–5.1.4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บันทึกการทดลองผลิตด้วยเครื่องจักรจริง พร้อมวันที่ รุ่นที่ทดลอง และผลการทดสอบที่เกี่ยวข้อง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5.1.3–5.1.4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เอกสารเหตุผลประกอบในกรณีที่ไม่ได้ทำการทดลองผลิต เพราะผลิตภัณฑ์ใกล้เคียงกับผลิตภัณฑ์เดิม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5.1.3–5.1.4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ระเบียบวิธีการทดสอบอายุการเก็บรักษาที่ระบุจุดชักตัวอย่าง ความถี่ และเกณฑ์การยอมรับ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5.1.3–5.1.4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ผลการทดสอบทางจุลชีววิทยา เคมี และการประเมินทางประสาทสัมผัสตลอดช่วงอายุที่กำหนด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5.1.3–5.1.4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เหตุผลประกอบเชิงวิทยาศาสตร์เป็นเอกสาร สำหรับผลิตภัณฑ์อายุยาวที่ไม่สามารถทดสอบเต็มรูปแบบก่อนผลิตได้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5.1.3–5.1.4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เอกสารกำหนดอายุของผลิตภัณฑ์ที่นำกลับมาใช้ใหม่และของงานระหว่างผลิต หากมีการใช้งานจริง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5.2.1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ระเบียบปฏิบัติการอนุมัติและลงนามอาร์ตเวิร์ก ที่ระบุผู้มีอำนาจลงนามในแต่ละขั้น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5.2.1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บันทึกการตรวจสอบความถูกต้องตามกฎหมายของฉลากใหม่แต่ละแบบ พร้อมชื่อผู้ตรวจสอบและวันที่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5.2.1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ตารางเทียบข้อมูลส่วนผสมและสารก่อภูมิแพ้บนฉลาก กับสูตรผลิตภัณฑ์และข้อกำหนดจำเพาะของวัตถุดิบทุกรายการ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5.2.1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ปรู๊ฟฉลากที่ลงนามอนุมัติแล้ว เก็บคู่กับรหัสอาร์ตเวิร์กและรุ่นของฉลากที่ใช้อยู่จริง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5.2.1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หลักฐานความเห็นชอบจากเจ้าของแบรนด์ สำหรับผลิตภัณฑ์ที่ผลิตภายใต้แบรนด์ของลูกค้า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5.2.1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หลักฐานสนับสนุนคำกล่าวอ้างที่ปรากฏบนฉลาก เช่น การคำนวณสัดส่วนส่วนผสม หรือหลักฐานแหล่งกำเนิดของวัตถุดิบ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5.2.2–5.2.3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ระเบียบปฏิบัติที่ระบุเหตุการณ์ทั้งห้าที่ต้องนำไปสู่การทบทวนฉลาก พร้อมผู้รับผิดชอบและกรอบเวลา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5.2.2–5.2.3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บันทึกการทบทวนฉลากจากการเปลี่ยนแปลงที่เกิดขึ้นจริงในรอบปีที่ผ่านมา เช่น กรณีเปลี่ยนผู้ส่งมอบวัตถุดิบ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5.2.2–5.2.3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ข้อตกลงกับผู้ส่งมอบที่กำหนดให้ต้องแจ้งการเปลี่ยนสูตรหรือแหล่งกำเนิดล่วงหน้า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5.2.2–5.2.3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ทะเบียนติดตามการเปลี่ยนแปลงกฎหมายของประเทศปลายทางที่เกี่ยวข้อง พร้อมผลกระทบต่อฉลากแต่ละรายการ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5.2.2–5.2.3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บันทึกการส่งข้อมูลตั้งต้นให้ลูกค้าหรือผู้จัดทำฉลากภายนอก พร้อมวันที่และช่องทางที่ส่ง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5.2.2–5.2.3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บันทึกการแจ้งการเปลี่ยนแปลงให้ผู้จัดทำฉลากภายนอก พร้อมหลักฐานการตอบรับ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5.2.4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รายงานการพิสูจน์ความใช้ได้ของคำแนะนำการปรุงสุก พร้อมข้อมูลอุณหภูมิที่จุดที่ร้อนช้าที่สุด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5.2.4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ระเบียบวิธีการทดสอบที่ระบุอุปกรณ์ ขนาดชิ้น และสภาวะตั้งต้นของผลิตภัณฑ์ที่ใช้ทดสอบ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5.2.4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ผลการทดสอบทางจุลชีววิทยาของผลิตภัณฑ์หลังปรุงตามคำแนะนำ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5.2.4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บันทึกการทบทวนคำแนะนำการปรุงสุกเมื่อมีการเปลี่ยนสูตรหรือเปลี่ยนบรรจุภัณฑ์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5.2.4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รายการผลิตภัณฑ์ที่ระบุว่ารายการใดมีคำแนะนำการปรุงสุกที่เป็นมาตรการควบคุมความปลอดภัย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70" w:before="180"/>
      </w:pPr>
      <w:r>
        <w:rPr>
          <w:rFonts w:ascii="Sarabun" w:cs="Sarabun" w:eastAsia="Sarabun" w:hAnsi="Sarabun"/>
          <w:b/>
          <w:bCs/>
          <w:color w:val="1F4E79"/>
          <w:sz w:val="22"/>
          <w:szCs w:val="22"/>
        </w:rPr>
        <w:t xml:space="preserve">งานที่ต้องทำต่อ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0"/>
        <w:gridCol w:w="1920"/>
        <w:gridCol w:w="1920"/>
        <w:gridCol w:w="1920"/>
        <w:gridCol w:w="1920"/>
      </w:tblGrid>
      <w:tr>
        <w:trPr>
          <w:tblHeader/>
        </w:trPr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สิ่งที่ยังขาด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สิ่งที่ต้องทำ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กำหนดเสร็จ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00"/>
        <w:gridCol w:w="3200"/>
      </w:tblGrid>
      <w:tr>
        <w:trPr>
          <w:tblHeader/>
        </w:trPr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ผู้จัดทำ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ผู้ทบทวน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ผู้อนุมัติ</w:t>
            </w:r>
          </w:p>
        </w:tc>
      </w:tr>
      <w:tr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000" w:right="1000" w:bottom="8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Sarabun" w:cs="Sarabun" w:eastAsia="Sarabun" w:hAnsi="Sarabun"/>
        <w:color w:val="777777"/>
        <w:sz w:val="15"/>
        <w:szCs w:val="15"/>
      </w:rPr>
      <w:t xml:space="preserve">ใบตรวจหลักฐาน 5.1–5.2 — การออกแบบผลิตภัณฑ์และการติดฉลาก · BRCGS Food Safety Issue 9 · ข้อ 5.1–5.2 · SP Solution Center · หน้า </w:t>
    </w:r>
    <w:r>
      <w:rPr>
        <w:rFonts w:ascii="Sarabun" w:cs="Sarabun" w:eastAsia="Sarabun" w:hAnsi="Sarabun"/>
        <w:color w:val="777777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4DED5" w:sz="4" w:space="6"/>
      </w:pBdr>
      <w:spacing w:after="60"/>
    </w:pPr>
    <w:r>
      <w:drawing>
        <wp:inline distT="0" distB="0" distL="0" distR="0">
          <wp:extent cx="180975" cy="2095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" cy="209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Sarabun" w:cs="Sarabun" w:eastAsia="Sarabun" w:hAnsi="Sarabun"/>
        <w:color w:val="777777"/>
        <w:sz w:val="15"/>
        <w:szCs w:val="15"/>
      </w:rPr>
      <w:t xml:space="preserve">   ตัวอย่างแบบฟอร์มจาก SP Solution Center · spsolutioncenter.com · ซีรีส์ อ่านข้อกำหนด BRCGS Food Issue 9 ทีละข้อ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40" w:hanging="23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arabun" w:cs="Sarabun" w:eastAsia="Sarabun" w:hAnsi="Sarabun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ef7d0b1d79e358fcb732df4a0a2272cfcc7093c1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f7d0b1d79e358fcb732df4a0a2272cfcc7093c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2026-09-09T03:20:32.949Z</dcterms:created>
  <dcterms:modified xsi:type="dcterms:W3CDTF">2026-09-09T03:20:32.949Z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